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DA320" w14:textId="70523AC8" w:rsidR="00703A06" w:rsidRPr="00637C45" w:rsidRDefault="00703A06" w:rsidP="00AA1005">
      <w:pPr>
        <w:pStyle w:val="Nagwek1"/>
        <w:rPr>
          <w:rFonts w:ascii="Lato" w:hAnsi="Lato"/>
          <w:sz w:val="32"/>
          <w:szCs w:val="32"/>
        </w:rPr>
      </w:pPr>
      <w:r w:rsidRPr="00637C45">
        <w:rPr>
          <w:rFonts w:ascii="Lato" w:hAnsi="Lato"/>
          <w:sz w:val="32"/>
          <w:szCs w:val="32"/>
        </w:rPr>
        <w:t xml:space="preserve">System ICS2 – </w:t>
      </w:r>
      <w:r w:rsidR="00AD37E8" w:rsidRPr="00637C45">
        <w:rPr>
          <w:rFonts w:ascii="Lato" w:hAnsi="Lato"/>
          <w:sz w:val="32"/>
          <w:szCs w:val="32"/>
        </w:rPr>
        <w:t xml:space="preserve">wyjaśnienia dotyczące </w:t>
      </w:r>
      <w:r w:rsidRPr="00637C45">
        <w:rPr>
          <w:rFonts w:ascii="Lato" w:hAnsi="Lato"/>
          <w:sz w:val="32"/>
          <w:szCs w:val="32"/>
        </w:rPr>
        <w:t>przesunięcia terminów wdrożenia przez podmioty gospodarcze</w:t>
      </w:r>
    </w:p>
    <w:p w14:paraId="6275D867" w14:textId="0008269B" w:rsidR="00703A06" w:rsidRPr="00AA1005" w:rsidRDefault="00703A06" w:rsidP="00AA1005">
      <w:pPr>
        <w:pStyle w:val="Styl1"/>
        <w:rPr>
          <w:rStyle w:val="Nagwek2Znak"/>
          <w:rFonts w:ascii="Lato" w:hAnsi="Lato"/>
          <w:b/>
          <w:bCs/>
        </w:rPr>
      </w:pPr>
      <w:r w:rsidRPr="00AA1005">
        <w:rPr>
          <w:rStyle w:val="Nagwek2Znak"/>
          <w:rFonts w:ascii="Lato" w:hAnsi="Lato"/>
          <w:b/>
          <w:bCs/>
        </w:rPr>
        <w:t>Odstępstwo od obowiązku stosowania systemu ICS2 – etap 3</w:t>
      </w:r>
    </w:p>
    <w:p w14:paraId="1A08B997" w14:textId="77777777" w:rsidR="00CA1605" w:rsidRPr="00637C45" w:rsidRDefault="00CA1605" w:rsidP="00AA1005">
      <w:pPr>
        <w:pStyle w:val="TekstpismaMFodstep12"/>
        <w:spacing w:before="0" w:after="240" w:line="276" w:lineRule="auto"/>
      </w:pPr>
      <w:r w:rsidRPr="00637C45">
        <w:t>W nawiązaniu do wdrożenia trzeciego etapu unijnego systemu ICS2, Departament Ceł Ministerstwa Finansów uprzejmie informuje, że etap ten będzie wdrażany następującymi krokami:</w:t>
      </w:r>
    </w:p>
    <w:p w14:paraId="5BC49146" w14:textId="28C176DA" w:rsidR="00CA1605" w:rsidRPr="00637C45" w:rsidRDefault="00CA1605" w:rsidP="00044587">
      <w:pPr>
        <w:pStyle w:val="TekstpismaMFodstep12"/>
        <w:spacing w:before="0" w:after="240" w:line="276" w:lineRule="auto"/>
        <w:ind w:left="284"/>
      </w:pPr>
      <w:r w:rsidRPr="00AA1005">
        <w:rPr>
          <w:b/>
          <w:bCs/>
        </w:rPr>
        <w:t>Krok pierwszy</w:t>
      </w:r>
      <w:r w:rsidRPr="00637C45">
        <w:t xml:space="preserve"> - przewoźnicy morscy będą mieli obowiązek stosowania systemu ICS2, </w:t>
      </w:r>
      <w:r w:rsidRPr="00AA1005">
        <w:rPr>
          <w:b/>
          <w:bCs/>
        </w:rPr>
        <w:t>od 03.06.2024 r</w:t>
      </w:r>
      <w:r w:rsidRPr="00637C45">
        <w:t>.</w:t>
      </w:r>
    </w:p>
    <w:p w14:paraId="1F0605D8" w14:textId="20F94F2E" w:rsidR="00CA1605" w:rsidRPr="00637C45" w:rsidRDefault="00CA1605" w:rsidP="00044587">
      <w:pPr>
        <w:pStyle w:val="TekstpismaMFodstep12"/>
        <w:spacing w:before="0" w:after="240" w:line="276" w:lineRule="auto"/>
        <w:ind w:left="284"/>
      </w:pPr>
      <w:r w:rsidRPr="00AA1005">
        <w:rPr>
          <w:b/>
          <w:bCs/>
        </w:rPr>
        <w:t>Krok drugi</w:t>
      </w:r>
      <w:r w:rsidRPr="00637C45">
        <w:t xml:space="preserve"> - spedytorzy/konsolidatorzy w transporcie morskim będą mieli obowiązek stosowania systemu ICS2 </w:t>
      </w:r>
      <w:r w:rsidRPr="00AA1005">
        <w:rPr>
          <w:b/>
          <w:bCs/>
        </w:rPr>
        <w:t>od 04.12.2024 r.</w:t>
      </w:r>
    </w:p>
    <w:p w14:paraId="451AFA06" w14:textId="4C9966F5" w:rsidR="00CA1605" w:rsidRPr="00AA1005" w:rsidRDefault="00CA1605" w:rsidP="00044587">
      <w:pPr>
        <w:pStyle w:val="TekstpismaMFodstep12"/>
        <w:spacing w:before="0" w:after="240" w:line="276" w:lineRule="auto"/>
        <w:ind w:left="284"/>
        <w:rPr>
          <w:b/>
          <w:bCs/>
        </w:rPr>
      </w:pPr>
      <w:r w:rsidRPr="00AA1005">
        <w:rPr>
          <w:b/>
          <w:bCs/>
        </w:rPr>
        <w:t>Krok trzeci</w:t>
      </w:r>
      <w:r w:rsidRPr="00637C45">
        <w:t xml:space="preserve"> - podmioty gospodarcze obsługujące przewóz przesyłek transportem drogowym i kolejowym będą miały obowiązek stosowania systemu IC</w:t>
      </w:r>
      <w:r w:rsidR="00DC789F" w:rsidRPr="00637C45">
        <w:t xml:space="preserve">S2 </w:t>
      </w:r>
      <w:r w:rsidR="00DC789F" w:rsidRPr="00AA1005">
        <w:rPr>
          <w:b/>
          <w:bCs/>
        </w:rPr>
        <w:t>od 01.04.2025 </w:t>
      </w:r>
      <w:r w:rsidRPr="00AA1005">
        <w:rPr>
          <w:b/>
          <w:bCs/>
        </w:rPr>
        <w:t>r.</w:t>
      </w:r>
    </w:p>
    <w:p w14:paraId="2AC2CD35" w14:textId="77777777" w:rsidR="00CA1605" w:rsidRPr="00637C45" w:rsidRDefault="00CA1605" w:rsidP="00AA1005">
      <w:pPr>
        <w:pStyle w:val="TekstpismaMFodstep12"/>
        <w:spacing w:before="0" w:after="240" w:line="276" w:lineRule="auto"/>
      </w:pPr>
      <w:r w:rsidRPr="00637C45">
        <w:t>W celu przesunięcia terminów stosowania ICS2 – etap 3, podmioty gospodarcze, które nie będą w stanie stosować sytemu ICS2 – etap 3, od dat wskazanych powyżej, są uprawnione do skorzystania z okna wdrożenia  systemu. W zależności od roli pełnionej przez dany podmiot w procesie biznesowym, długość okna wdrożenia może zostać udzielona w następujących ramach czasowych:</w:t>
      </w:r>
    </w:p>
    <w:p w14:paraId="6A7D4137" w14:textId="77777777" w:rsidR="00583514" w:rsidRPr="00637C45" w:rsidRDefault="00583514" w:rsidP="00AA1005">
      <w:pPr>
        <w:pStyle w:val="TekstpismaMFodstep12"/>
        <w:numPr>
          <w:ilvl w:val="0"/>
          <w:numId w:val="7"/>
        </w:numPr>
        <w:spacing w:before="0" w:after="120" w:line="276" w:lineRule="auto"/>
        <w:ind w:left="567" w:hanging="283"/>
      </w:pPr>
      <w:r w:rsidRPr="00637C45">
        <w:t>p</w:t>
      </w:r>
      <w:r w:rsidR="00703A06" w:rsidRPr="00637C45">
        <w:t>rzewoźnicy w transporcie morskim i śródlądowym – od 03.06.2024 r. do 04.12.2024 r.;</w:t>
      </w:r>
    </w:p>
    <w:p w14:paraId="7DE69833" w14:textId="77777777" w:rsidR="00583514" w:rsidRPr="00637C45" w:rsidRDefault="00703A06" w:rsidP="00AA1005">
      <w:pPr>
        <w:pStyle w:val="TekstpismaMFodstep12"/>
        <w:numPr>
          <w:ilvl w:val="0"/>
          <w:numId w:val="7"/>
        </w:numPr>
        <w:spacing w:before="0" w:after="120" w:line="276" w:lineRule="auto"/>
        <w:ind w:left="567" w:hanging="283"/>
      </w:pPr>
      <w:r w:rsidRPr="00637C45">
        <w:t>spedytorzy/konsolidatorzy w transporcie morskim i śródlądowym – od 04.12.2024 r. do 01.04.2025 r.;</w:t>
      </w:r>
    </w:p>
    <w:p w14:paraId="089F432E" w14:textId="223C49C4" w:rsidR="00703A06" w:rsidRPr="00637C45" w:rsidRDefault="00703A06" w:rsidP="00AA1005">
      <w:pPr>
        <w:pStyle w:val="TekstpismaMFodstep12"/>
        <w:numPr>
          <w:ilvl w:val="0"/>
          <w:numId w:val="7"/>
        </w:numPr>
        <w:spacing w:before="0" w:after="120" w:line="276" w:lineRule="auto"/>
        <w:ind w:left="567" w:hanging="283"/>
      </w:pPr>
      <w:r w:rsidRPr="00637C45">
        <w:t xml:space="preserve">przewoźnicy w transporcie drogowym i kolejowym – od 01.04.2025 r. do 01.09.2025 r. </w:t>
      </w:r>
    </w:p>
    <w:p w14:paraId="7BFB41F5" w14:textId="5EF4A2A4" w:rsidR="00407094" w:rsidRPr="00637C45" w:rsidRDefault="00703A06" w:rsidP="00AA1005">
      <w:pPr>
        <w:pStyle w:val="TekstpismaMFodstep12"/>
        <w:spacing w:before="0" w:after="240" w:line="276" w:lineRule="auto"/>
      </w:pPr>
      <w:r w:rsidRPr="00637C45">
        <w:t xml:space="preserve">Okno wdrożeniowe może zostać udzielone </w:t>
      </w:r>
      <w:r w:rsidR="00407094" w:rsidRPr="00637C45">
        <w:t>podmiotom gospodarczym</w:t>
      </w:r>
      <w:r w:rsidR="008B45CF" w:rsidRPr="00637C45">
        <w:t xml:space="preserve"> mającym</w:t>
      </w:r>
      <w:r w:rsidR="00583514" w:rsidRPr="00637C45">
        <w:t xml:space="preserve"> </w:t>
      </w:r>
      <w:r w:rsidR="008B45CF" w:rsidRPr="00637C45">
        <w:t xml:space="preserve">zarejestrowaną </w:t>
      </w:r>
      <w:r w:rsidR="0071495B" w:rsidRPr="00637C45">
        <w:t>w Polsce</w:t>
      </w:r>
      <w:r w:rsidR="008B45CF" w:rsidRPr="00637C45">
        <w:t xml:space="preserve"> działalność gospodarczą</w:t>
      </w:r>
      <w:r w:rsidR="0071495B" w:rsidRPr="00637C45">
        <w:t xml:space="preserve">, które </w:t>
      </w:r>
      <w:r w:rsidR="00583514" w:rsidRPr="00637C45">
        <w:t>łączą się z</w:t>
      </w:r>
      <w:r w:rsidR="00407094" w:rsidRPr="00637C45">
        <w:t xml:space="preserve"> systemem ICS2 po raz pierwszy </w:t>
      </w:r>
      <w:r w:rsidR="00221FDA" w:rsidRPr="00637C45">
        <w:t>jak i</w:t>
      </w:r>
      <w:r w:rsidR="00583514" w:rsidRPr="00637C45">
        <w:t xml:space="preserve"> </w:t>
      </w:r>
      <w:r w:rsidR="006030C1" w:rsidRPr="00637C45">
        <w:t xml:space="preserve"> </w:t>
      </w:r>
      <w:r w:rsidR="0071495B" w:rsidRPr="00637C45">
        <w:t>stosującym</w:t>
      </w:r>
      <w:r w:rsidR="006030C1" w:rsidRPr="00637C45">
        <w:t>, obecnie,</w:t>
      </w:r>
      <w:r w:rsidR="0071495B" w:rsidRPr="00637C45">
        <w:t xml:space="preserve"> ICS2 – etap</w:t>
      </w:r>
      <w:r w:rsidR="00583514" w:rsidRPr="00637C45">
        <w:t xml:space="preserve"> 2, ale niemającym </w:t>
      </w:r>
      <w:r w:rsidR="00407094" w:rsidRPr="00637C45">
        <w:t xml:space="preserve">wdrożonych dodatkowych funkcjonalności dla </w:t>
      </w:r>
      <w:r w:rsidR="0071495B" w:rsidRPr="00637C45">
        <w:t>etapu</w:t>
      </w:r>
      <w:r w:rsidR="00407094" w:rsidRPr="00637C45">
        <w:t xml:space="preserve"> 3. </w:t>
      </w:r>
    </w:p>
    <w:p w14:paraId="6A1043AB" w14:textId="538683F6" w:rsidR="001B2F19" w:rsidRPr="00637C45" w:rsidRDefault="008645D7" w:rsidP="00AA1005">
      <w:pPr>
        <w:pStyle w:val="TekstpismaMFodstep12"/>
        <w:spacing w:before="0" w:after="240" w:line="276" w:lineRule="auto"/>
      </w:pPr>
      <w:r w:rsidRPr="00637C45">
        <w:t>Podmiot korzystający z przewidzianego</w:t>
      </w:r>
      <w:r w:rsidR="001B2F19" w:rsidRPr="00637C45">
        <w:t xml:space="preserve"> okn</w:t>
      </w:r>
      <w:r w:rsidRPr="00637C45">
        <w:t>a</w:t>
      </w:r>
      <w:r w:rsidR="001B2F19" w:rsidRPr="00637C45">
        <w:t xml:space="preserve"> wdrożenia, powinien </w:t>
      </w:r>
      <w:r w:rsidRPr="00637C45">
        <w:t xml:space="preserve">realizować obowiązek składania PDS za pośrednictwem </w:t>
      </w:r>
      <w:r w:rsidR="002A362C" w:rsidRPr="00637C45">
        <w:t xml:space="preserve">dotychczasowego </w:t>
      </w:r>
      <w:r w:rsidRPr="00637C45">
        <w:t>systemu</w:t>
      </w:r>
      <w:r w:rsidR="001B2F19" w:rsidRPr="00637C45">
        <w:t xml:space="preserve"> AIS/ICS.</w:t>
      </w:r>
    </w:p>
    <w:p w14:paraId="2CC567BF" w14:textId="3A2C6B11" w:rsidR="00703A06" w:rsidRPr="00703A06" w:rsidRDefault="00703A06" w:rsidP="00AA1005">
      <w:pPr>
        <w:pStyle w:val="TekstpismaMFodstep12"/>
        <w:spacing w:before="0" w:after="240" w:line="276" w:lineRule="auto"/>
        <w:rPr>
          <w:sz w:val="24"/>
          <w:szCs w:val="24"/>
        </w:rPr>
      </w:pPr>
      <w:r w:rsidRPr="00637C45">
        <w:t xml:space="preserve">Jeśli </w:t>
      </w:r>
      <w:r w:rsidRPr="00637C45">
        <w:rPr>
          <w:b/>
          <w:bCs/>
        </w:rPr>
        <w:t>przewoźnicy kolejowi i drogowi</w:t>
      </w:r>
      <w:r w:rsidRPr="00637C45">
        <w:t xml:space="preserve"> zechcą stosować ICS2 (etap 3) przed dniem</w:t>
      </w:r>
      <w:r w:rsidR="006030C1" w:rsidRPr="00637C45">
        <w:t>,</w:t>
      </w:r>
      <w:r w:rsidRPr="00637C45">
        <w:t xml:space="preserve"> z którym powstaje obowiązek stosowania ICS2 (tj. przed 01.04.2025 r.), </w:t>
      </w:r>
      <w:r w:rsidR="00940A53" w:rsidRPr="00637C45">
        <w:t xml:space="preserve"> </w:t>
      </w:r>
      <w:r w:rsidRPr="00637C45">
        <w:t>podmioty te są</w:t>
      </w:r>
      <w:r w:rsidRPr="00703A06">
        <w:rPr>
          <w:sz w:val="24"/>
          <w:szCs w:val="24"/>
        </w:rPr>
        <w:t xml:space="preserve"> do tego uprawnione – jeżeli działają również w innych rodzajach transportu, np. pełnią funkcję spedytorów/konsolidatorów morskich i śródlądowych. </w:t>
      </w:r>
    </w:p>
    <w:p w14:paraId="2C29C9B4" w14:textId="77777777" w:rsidR="00703A06" w:rsidRPr="00637C45" w:rsidRDefault="00703A06" w:rsidP="00AA1005">
      <w:pPr>
        <w:pStyle w:val="TekstpismaMFodstep12"/>
        <w:spacing w:before="0" w:after="240" w:line="276" w:lineRule="auto"/>
      </w:pPr>
      <w:r w:rsidRPr="00637C45">
        <w:lastRenderedPageBreak/>
        <w:t xml:space="preserve">Podmioty gospodarcze obsługujące kilka rodzajów transportu, są uprawnione do wybrania jednej daty rozpoczęcia stosowania ICS2 dla wszystkich rodzajów swoich złożeń PDS. Jednak, data ta nie powinna być późniejsza niż najwcześniejsza data końcowa okna wdrożenia dla obsługiwanych rodzajów transportu. Na przykład, jeśli podmiot gospodarczy działa zarówno jako spedytor/konsolidator w transporcie morskim, jak i jako przewoźnik drogowy – data, od której ten podmiot stosuje system ICS2, powinna przypadać, najpóźniej, na 01.04.2025 r. </w:t>
      </w:r>
    </w:p>
    <w:p w14:paraId="46770955" w14:textId="252B7FAD" w:rsidR="001026F0" w:rsidRPr="00637C45" w:rsidRDefault="001026F0" w:rsidP="00AA1005">
      <w:pPr>
        <w:pStyle w:val="TekstpismaMFodstep12"/>
        <w:spacing w:before="0" w:after="240" w:line="276" w:lineRule="auto"/>
      </w:pPr>
      <w:r w:rsidRPr="00637C45">
        <w:t xml:space="preserve">Obowiązek uzyskania zgody na okno wdrożenia dotyczy </w:t>
      </w:r>
      <w:r w:rsidRPr="00637C45">
        <w:rPr>
          <w:b/>
          <w:bCs/>
        </w:rPr>
        <w:t>przewoźników oraz konsolidatorów/spedytorów morskich</w:t>
      </w:r>
      <w:r w:rsidR="006E21A5" w:rsidRPr="00637C45">
        <w:rPr>
          <w:b/>
          <w:bCs/>
        </w:rPr>
        <w:t xml:space="preserve">, </w:t>
      </w:r>
      <w:r w:rsidR="006E21A5" w:rsidRPr="00637C45">
        <w:t>a także</w:t>
      </w:r>
      <w:r w:rsidR="008519C6" w:rsidRPr="00637C45">
        <w:t xml:space="preserve"> </w:t>
      </w:r>
      <w:r w:rsidR="008519C6" w:rsidRPr="00637C45">
        <w:rPr>
          <w:b/>
          <w:bCs/>
        </w:rPr>
        <w:t xml:space="preserve">przewoźników </w:t>
      </w:r>
      <w:r w:rsidR="006E21A5" w:rsidRPr="00637C45">
        <w:rPr>
          <w:b/>
          <w:bCs/>
        </w:rPr>
        <w:t>kolejowych</w:t>
      </w:r>
      <w:r w:rsidR="008645D7" w:rsidRPr="00637C45">
        <w:t xml:space="preserve"> (przewoźnicy w transporcie </w:t>
      </w:r>
      <w:r w:rsidR="006E21A5" w:rsidRPr="00637C45">
        <w:t>drogowym</w:t>
      </w:r>
      <w:r w:rsidR="008645D7" w:rsidRPr="00637C45">
        <w:t xml:space="preserve"> nie muszą występować z oficjalnym wnioskiem).</w:t>
      </w:r>
    </w:p>
    <w:p w14:paraId="5A2BC486" w14:textId="32AF8488" w:rsidR="00703A06" w:rsidRPr="00637C45" w:rsidRDefault="001026F0" w:rsidP="00AA1005">
      <w:pPr>
        <w:pStyle w:val="TekstpismaMFodstep12"/>
        <w:spacing w:before="0" w:after="240" w:line="276" w:lineRule="auto"/>
      </w:pPr>
      <w:r w:rsidRPr="00637C45">
        <w:t>Aby to zrealizować</w:t>
      </w:r>
      <w:r w:rsidR="00703A06" w:rsidRPr="00637C45">
        <w:t xml:space="preserve"> należy złożyć formalny wniosek w języku polskim lub angielskim (w formacie tekstowym). </w:t>
      </w:r>
    </w:p>
    <w:p w14:paraId="0F6E7F92" w14:textId="77777777" w:rsidR="009D291D" w:rsidRPr="00637C45" w:rsidRDefault="00703A06" w:rsidP="00AA1005">
      <w:pPr>
        <w:pStyle w:val="TekstpismaMFodstep12"/>
        <w:spacing w:before="0" w:after="120" w:line="240" w:lineRule="auto"/>
      </w:pPr>
      <w:r w:rsidRPr="00637C45">
        <w:t>Wniosek taki powinien, w szczególności, zawierać:</w:t>
      </w:r>
      <w:r w:rsidR="009D291D" w:rsidRPr="00637C45">
        <w:t xml:space="preserve"> </w:t>
      </w:r>
    </w:p>
    <w:p w14:paraId="48175C17" w14:textId="6796F8F2" w:rsidR="00B151EE" w:rsidRPr="00637C45" w:rsidRDefault="00703A06" w:rsidP="00AA1005">
      <w:pPr>
        <w:pStyle w:val="TekstpismaMFodstep12"/>
        <w:numPr>
          <w:ilvl w:val="0"/>
          <w:numId w:val="8"/>
        </w:numPr>
        <w:spacing w:before="0" w:after="120" w:line="240" w:lineRule="auto"/>
        <w:ind w:left="567" w:hanging="283"/>
      </w:pPr>
      <w:r w:rsidRPr="00637C45">
        <w:t>nazwę</w:t>
      </w:r>
      <w:r w:rsidR="0071495B" w:rsidRPr="00637C45">
        <w:t>,</w:t>
      </w:r>
      <w:r w:rsidRPr="00637C45">
        <w:t xml:space="preserve"> numer EORI </w:t>
      </w:r>
      <w:r w:rsidR="0071495B" w:rsidRPr="00637C45">
        <w:t xml:space="preserve">i datę rejestracji </w:t>
      </w:r>
      <w:r w:rsidRPr="00637C45">
        <w:t>podmiotu;</w:t>
      </w:r>
    </w:p>
    <w:p w14:paraId="22A9B157" w14:textId="77777777" w:rsidR="00B151EE" w:rsidRPr="00637C45" w:rsidRDefault="00703A06" w:rsidP="00AA1005">
      <w:pPr>
        <w:pStyle w:val="TekstpismaMFodstep12"/>
        <w:numPr>
          <w:ilvl w:val="0"/>
          <w:numId w:val="8"/>
        </w:numPr>
        <w:spacing w:before="0" w:after="120" w:line="240" w:lineRule="auto"/>
        <w:ind w:left="567" w:hanging="283"/>
      </w:pPr>
      <w:r w:rsidRPr="00637C45">
        <w:t>rolę tego podmiotu w procesie biznesowym ICS2 (przewoźnik morski/drogowy/kolejowy, spedytor/konsolidator morski);</w:t>
      </w:r>
    </w:p>
    <w:p w14:paraId="6BDB1C82" w14:textId="77777777" w:rsidR="0042028A" w:rsidRPr="00637C45" w:rsidRDefault="00703A06" w:rsidP="00AA1005">
      <w:pPr>
        <w:pStyle w:val="TekstpismaMFodstep12"/>
        <w:numPr>
          <w:ilvl w:val="0"/>
          <w:numId w:val="8"/>
        </w:numPr>
        <w:spacing w:before="0" w:after="120" w:line="240" w:lineRule="auto"/>
        <w:ind w:left="567" w:hanging="283"/>
      </w:pPr>
      <w:r w:rsidRPr="00637C45">
        <w:t>żądany czas trwania okna wdrożeniowego – „od daty” -  „do daty”</w:t>
      </w:r>
      <w:r w:rsidR="0042028A" w:rsidRPr="00637C45">
        <w:t>;</w:t>
      </w:r>
    </w:p>
    <w:p w14:paraId="3FC251D2" w14:textId="2370DC22" w:rsidR="00703A06" w:rsidRPr="00637C45" w:rsidRDefault="0042028A" w:rsidP="00AA1005">
      <w:pPr>
        <w:pStyle w:val="TekstpismaMFodstep12"/>
        <w:numPr>
          <w:ilvl w:val="0"/>
          <w:numId w:val="8"/>
        </w:numPr>
        <w:spacing w:before="0" w:after="120" w:line="240" w:lineRule="auto"/>
        <w:ind w:left="567" w:hanging="283"/>
      </w:pPr>
      <w:r w:rsidRPr="00637C45">
        <w:t>informację, czy dane PDS składane będą bezpośrednio przez podmiot gospodarczy, czy przez ITSP</w:t>
      </w:r>
      <w:r w:rsidR="00703A06" w:rsidRPr="00637C45">
        <w:t xml:space="preserve">. </w:t>
      </w:r>
    </w:p>
    <w:p w14:paraId="1CC9BB3C" w14:textId="4BA8A2AB" w:rsidR="00703A06" w:rsidRPr="00637C45" w:rsidRDefault="00703A06" w:rsidP="00AA1005">
      <w:pPr>
        <w:pStyle w:val="TekstpismaMFodstep12"/>
        <w:spacing w:before="0" w:after="120" w:line="240" w:lineRule="auto"/>
      </w:pPr>
      <w:r w:rsidRPr="00637C45">
        <w:t xml:space="preserve">Wyżej wspomniany wniosek należy przesłać na adres e-mail: </w:t>
      </w:r>
      <w:hyperlink r:id="rId8" w:history="1">
        <w:r w:rsidR="009D291D" w:rsidRPr="00637C45">
          <w:rPr>
            <w:rStyle w:val="Hipercze"/>
          </w:rPr>
          <w:t>sekretariat.DC@mf.gov.pl</w:t>
        </w:r>
      </w:hyperlink>
      <w:r w:rsidR="009D291D" w:rsidRPr="00637C45">
        <w:t>.</w:t>
      </w:r>
    </w:p>
    <w:p w14:paraId="0220AD64" w14:textId="1F756678" w:rsidR="00703A06" w:rsidRPr="00637C45" w:rsidRDefault="00703A06" w:rsidP="00AA1005">
      <w:pPr>
        <w:pStyle w:val="TekstpismaMFodstep12"/>
        <w:spacing w:before="0" w:after="120" w:line="240" w:lineRule="auto"/>
      </w:pPr>
      <w:r w:rsidRPr="00637C45">
        <w:t xml:space="preserve">Przyznana zgoda obowiązywać będzie we wszystkich państwach członkowskich UE. </w:t>
      </w:r>
    </w:p>
    <w:p w14:paraId="3AA87878" w14:textId="7E3814A2" w:rsidR="00703A06" w:rsidRPr="00AA1005" w:rsidRDefault="00703A06" w:rsidP="00AA1005">
      <w:pPr>
        <w:pStyle w:val="Styl1"/>
        <w:rPr>
          <w:rStyle w:val="Nagwek2Znak"/>
          <w:rFonts w:ascii="Lato" w:hAnsi="Lato"/>
          <w:b/>
          <w:bCs/>
        </w:rPr>
      </w:pPr>
      <w:r w:rsidRPr="00AA1005">
        <w:rPr>
          <w:rStyle w:val="Nagwek2Znak"/>
          <w:rFonts w:ascii="Lato" w:hAnsi="Lato"/>
          <w:b/>
          <w:bCs/>
        </w:rPr>
        <w:t>Stosowanie systemu ICS2 przed terminami wdrożenia wymienionymi w pkt 1</w:t>
      </w:r>
    </w:p>
    <w:p w14:paraId="0881F125" w14:textId="77777777" w:rsidR="009D291D" w:rsidRPr="00637C45" w:rsidRDefault="00703A06" w:rsidP="00AA1005">
      <w:pPr>
        <w:pStyle w:val="TekstpismaMFodstep12"/>
        <w:spacing w:before="0" w:after="240" w:line="276" w:lineRule="auto"/>
      </w:pPr>
      <w:r w:rsidRPr="00637C45">
        <w:t xml:space="preserve">Podmioty gospodarcze zarejestrowane w Polsce i zamierzające stosować etap 3 ICS2: </w:t>
      </w:r>
    </w:p>
    <w:p w14:paraId="1D2327DA" w14:textId="77777777" w:rsidR="00B151EE" w:rsidRPr="00637C45" w:rsidRDefault="00703A06" w:rsidP="00AA1005">
      <w:pPr>
        <w:pStyle w:val="TekstpismaMFodstep12"/>
        <w:numPr>
          <w:ilvl w:val="0"/>
          <w:numId w:val="9"/>
        </w:numPr>
        <w:spacing w:before="0" w:after="120" w:line="276" w:lineRule="auto"/>
        <w:ind w:left="567" w:hanging="283"/>
      </w:pPr>
      <w:r w:rsidRPr="00637C45">
        <w:t>przed dniem, z którym powstaje obowiązek stosowania ICS2 (dla konkretnej roli podmiotu gospodarczego w procesie biznesowym ICS2) lub</w:t>
      </w:r>
    </w:p>
    <w:p w14:paraId="449903DE" w14:textId="0572B8AB" w:rsidR="00703A06" w:rsidRPr="00637C45" w:rsidRDefault="00703A06" w:rsidP="00AA1005">
      <w:pPr>
        <w:pStyle w:val="TekstpismaMFodstep12"/>
        <w:numPr>
          <w:ilvl w:val="0"/>
          <w:numId w:val="9"/>
        </w:numPr>
        <w:spacing w:before="0" w:after="120" w:line="276" w:lineRule="auto"/>
        <w:ind w:left="567" w:hanging="283"/>
      </w:pPr>
      <w:r w:rsidRPr="00637C45">
        <w:t>przed końcem przyznanego okna wdrożenia,</w:t>
      </w:r>
    </w:p>
    <w:p w14:paraId="3D36369D" w14:textId="19347AC9" w:rsidR="00703A06" w:rsidRPr="00637C45" w:rsidRDefault="00703A06" w:rsidP="00AA1005">
      <w:pPr>
        <w:pStyle w:val="TekstpismaMFodstep12"/>
        <w:spacing w:before="0" w:after="240" w:line="276" w:lineRule="auto"/>
      </w:pPr>
      <w:r w:rsidRPr="00637C45">
        <w:t xml:space="preserve">powinny o takim zamiarze poinformować DC MF, </w:t>
      </w:r>
      <w:r w:rsidRPr="00637C45">
        <w:rPr>
          <w:b/>
          <w:bCs/>
        </w:rPr>
        <w:t xml:space="preserve">co </w:t>
      </w:r>
      <w:r w:rsidR="009D291D" w:rsidRPr="00637C45">
        <w:rPr>
          <w:b/>
          <w:bCs/>
        </w:rPr>
        <w:t>najmniej 7 dni</w:t>
      </w:r>
      <w:r w:rsidR="009D291D" w:rsidRPr="00637C45">
        <w:t xml:space="preserve"> </w:t>
      </w:r>
      <w:r w:rsidRPr="00637C45">
        <w:t xml:space="preserve"> przed planowaną datą stosowania systemu ICS2 (etap 3). Zasada ta nie dotyczy przewoźników morskich, którzy mogą rozpocząć stosowanie systemu ICS2, najwcześniej, od 03.06.2024 r.</w:t>
      </w:r>
    </w:p>
    <w:p w14:paraId="1AE2930B" w14:textId="031058F7" w:rsidR="00B151EE" w:rsidRPr="00AA1005" w:rsidRDefault="00703A06" w:rsidP="00AA1005">
      <w:pPr>
        <w:pStyle w:val="Styl1"/>
        <w:rPr>
          <w:rStyle w:val="Nagwek2Znak"/>
          <w:rFonts w:ascii="Lato" w:hAnsi="Lato"/>
          <w:b/>
          <w:bCs/>
        </w:rPr>
      </w:pPr>
      <w:r w:rsidRPr="00AA1005">
        <w:rPr>
          <w:rStyle w:val="Nagwek2Znak"/>
          <w:rFonts w:ascii="Lato" w:hAnsi="Lato"/>
          <w:b/>
          <w:bCs/>
        </w:rPr>
        <w:t>Warunki wstępne rozpoczęcia stosowania systemu ICS2 – etap 3 przez podmioty gospodarcze i obowiązki podmiotów gospodarczych w zakresie stosowania tego systemu</w:t>
      </w:r>
    </w:p>
    <w:p w14:paraId="3BFCD598" w14:textId="087C096F" w:rsidR="00703A06" w:rsidRPr="00637C45" w:rsidRDefault="00703A06" w:rsidP="00AA1005">
      <w:pPr>
        <w:pStyle w:val="TekstpismaMFodstep12"/>
        <w:numPr>
          <w:ilvl w:val="0"/>
          <w:numId w:val="1"/>
        </w:numPr>
        <w:spacing w:before="0" w:after="240" w:line="276" w:lineRule="auto"/>
        <w:rPr>
          <w:b/>
          <w:bCs/>
        </w:rPr>
      </w:pPr>
      <w:r w:rsidRPr="00637C45">
        <w:t xml:space="preserve">pomioty gospodarcze będą wykorzystywać interfejs unijny (interfejs opracowany przez DG TAXUD) – STI lub STP –  do złożeń PDS i/lub powiadomień o przybyciu. STI służy do </w:t>
      </w:r>
      <w:r w:rsidRPr="00637C45">
        <w:lastRenderedPageBreak/>
        <w:t>bezpośredniej, niewizualnej, integracji z systemami informatycznymi podmiotów. STP to portal, który pozwala na wypełnienie deklaracji PDS w formularzu i/lub załadowanie danych z wzorca.</w:t>
      </w:r>
    </w:p>
    <w:p w14:paraId="6D9AEB5A" w14:textId="08A347AB" w:rsidR="00703A06" w:rsidRPr="00637C45" w:rsidRDefault="00703A06" w:rsidP="00AA1005">
      <w:pPr>
        <w:pStyle w:val="TekstpismaMFodstep12"/>
        <w:spacing w:before="0" w:after="240" w:line="276" w:lineRule="auto"/>
        <w:ind w:left="720"/>
        <w:rPr>
          <w:b/>
          <w:bCs/>
        </w:rPr>
      </w:pPr>
      <w:r w:rsidRPr="00637C45">
        <w:rPr>
          <w:b/>
          <w:bCs/>
        </w:rPr>
        <w:t xml:space="preserve">WYJAŚNIENIE: </w:t>
      </w:r>
    </w:p>
    <w:p w14:paraId="4C279EBF" w14:textId="77777777" w:rsidR="00AA1005" w:rsidRDefault="00703A06" w:rsidP="00AA1005">
      <w:pPr>
        <w:pStyle w:val="TekstpismaMFodstep12"/>
        <w:numPr>
          <w:ilvl w:val="0"/>
          <w:numId w:val="3"/>
        </w:numPr>
        <w:spacing w:before="0" w:after="120" w:line="276" w:lineRule="auto"/>
        <w:ind w:left="993" w:hanging="284"/>
      </w:pPr>
      <w:r w:rsidRPr="00637C45">
        <w:rPr>
          <w:u w:val="single"/>
        </w:rPr>
        <w:t>PDS</w:t>
      </w:r>
      <w:r w:rsidRPr="00637C45">
        <w:t xml:space="preserve"> mogą być składane wyłącznie przez interfejs unijny;</w:t>
      </w:r>
    </w:p>
    <w:p w14:paraId="337589A3" w14:textId="650A0325" w:rsidR="00B151EE" w:rsidRPr="00637C45" w:rsidRDefault="00703A06" w:rsidP="00AA1005">
      <w:pPr>
        <w:pStyle w:val="TekstpismaMFodstep12"/>
        <w:numPr>
          <w:ilvl w:val="0"/>
          <w:numId w:val="3"/>
        </w:numPr>
        <w:spacing w:before="0" w:after="120" w:line="276" w:lineRule="auto"/>
        <w:ind w:left="993" w:hanging="284"/>
      </w:pPr>
      <w:r w:rsidRPr="00AA1005">
        <w:rPr>
          <w:u w:val="single"/>
        </w:rPr>
        <w:t>Powiadomienia o przybyciu środka transportu</w:t>
      </w:r>
      <w:r w:rsidRPr="00637C45">
        <w:t xml:space="preserve"> mogą być składane zarówno przez interfejs unijny (ang. Shared Trader Interface - STI), jak i krajowy za pośrednictwem portalu PUESC. Podmiot gospodarczy decyduje, za pośrednictwem którego interfejsu złoży powiadomienie o przybyciu.</w:t>
      </w:r>
    </w:p>
    <w:p w14:paraId="12DCF067" w14:textId="249F4905" w:rsidR="00703A06" w:rsidRPr="00637C45" w:rsidRDefault="00703A06" w:rsidP="00AA1005">
      <w:pPr>
        <w:pStyle w:val="TekstpismaMFodstep12"/>
        <w:numPr>
          <w:ilvl w:val="0"/>
          <w:numId w:val="1"/>
        </w:numPr>
        <w:spacing w:before="0" w:after="240" w:line="276" w:lineRule="auto"/>
      </w:pPr>
      <w:r w:rsidRPr="00637C45">
        <w:t>pomioty gospodarcze będą wykorzystywać polski interfejs – PUESC  – do złożeń powiadomień (jeśli zdecydują o wykorzystaniu tego interfejsu)  o przybyciu i przedstawieniu.</w:t>
      </w:r>
    </w:p>
    <w:p w14:paraId="40FF66E6" w14:textId="77777777" w:rsidR="00703A06" w:rsidRPr="00637C45" w:rsidRDefault="00703A06" w:rsidP="00AA1005">
      <w:pPr>
        <w:pStyle w:val="TekstpismaMFodstep12"/>
        <w:spacing w:before="0" w:after="240" w:line="276" w:lineRule="auto"/>
        <w:ind w:left="708"/>
        <w:rPr>
          <w:b/>
        </w:rPr>
      </w:pPr>
      <w:r w:rsidRPr="00637C45">
        <w:rPr>
          <w:b/>
        </w:rPr>
        <w:t xml:space="preserve">WYJAŚNIENIE: </w:t>
      </w:r>
    </w:p>
    <w:p w14:paraId="1FB2EC23" w14:textId="57B198B5" w:rsidR="00B151EE" w:rsidRPr="00637C45" w:rsidRDefault="00703A06" w:rsidP="00AA1005">
      <w:pPr>
        <w:pStyle w:val="TekstpismaMFodstep12"/>
        <w:numPr>
          <w:ilvl w:val="0"/>
          <w:numId w:val="4"/>
        </w:numPr>
        <w:spacing w:before="0" w:after="240" w:line="276" w:lineRule="auto"/>
        <w:ind w:left="993" w:hanging="284"/>
      </w:pPr>
      <w:r w:rsidRPr="00637C45">
        <w:t>Powiadomienie o przedstawieniu towarów do kontroli organom celnym składane jest w Polsce do systemu AIS/ICS2 wyłącznie za pośrednictwem interfejsu krajowego – PUESC</w:t>
      </w:r>
      <w:r w:rsidR="00974F7E" w:rsidRPr="00637C45">
        <w:t xml:space="preserve"> </w:t>
      </w:r>
      <w:r w:rsidRPr="00637C45">
        <w:t>(portal puesc.gov.pl).</w:t>
      </w:r>
    </w:p>
    <w:p w14:paraId="33CB247C" w14:textId="25D94D35" w:rsidR="00703A06" w:rsidRPr="00637C45" w:rsidRDefault="00703A06" w:rsidP="00AA1005">
      <w:pPr>
        <w:pStyle w:val="TekstpismaMFodstep12"/>
        <w:numPr>
          <w:ilvl w:val="0"/>
          <w:numId w:val="1"/>
        </w:numPr>
        <w:spacing w:before="0" w:after="240" w:line="276" w:lineRule="auto"/>
      </w:pPr>
      <w:r w:rsidRPr="00637C45">
        <w:t xml:space="preserve">system informatyczny podmiotu gospodarczego musi być zgodny ze specyfikacją funkcjonalną i techniczną ICS2 etap 3, co </w:t>
      </w:r>
      <w:r w:rsidR="00DE76DA" w:rsidRPr="00637C45">
        <w:t>powinno</w:t>
      </w:r>
      <w:r w:rsidRPr="00637C45">
        <w:t xml:space="preserve"> zostać potwierdzone pomyślnie zakończonymi testami samo-zgodności przeprowadzonymi przez podmiot lub</w:t>
      </w:r>
    </w:p>
    <w:p w14:paraId="7EF87434" w14:textId="77777777" w:rsidR="00B151EE" w:rsidRPr="00637C45" w:rsidRDefault="00B151EE" w:rsidP="00AA1005">
      <w:pPr>
        <w:pStyle w:val="TekstpismaMFodstep12"/>
        <w:numPr>
          <w:ilvl w:val="0"/>
          <w:numId w:val="1"/>
        </w:numPr>
        <w:spacing w:before="0" w:after="240" w:line="276" w:lineRule="auto"/>
      </w:pPr>
      <w:r w:rsidRPr="00637C45">
        <w:t>jeśli PDS będą przesyłane, w imieniu podmiotu gospodarczego, przez system informatyczny dostawcy usługi (ang. IT Service Provider – ITSP) – system ITSP musi być zgodny ze specyfikacją funkcjonalną i techniczną ICS2 etap 3, co musi zostać potwierdzone pomyślnie zakończonymi testami samo-zgodności przeprowadzonymi przez ITSP;</w:t>
      </w:r>
    </w:p>
    <w:p w14:paraId="1C01BE2E" w14:textId="1E25B630" w:rsidR="00703A06" w:rsidRPr="00637C45" w:rsidRDefault="00703A06" w:rsidP="00AA1005">
      <w:pPr>
        <w:pStyle w:val="TekstpismaMFodstep12"/>
        <w:numPr>
          <w:ilvl w:val="0"/>
          <w:numId w:val="1"/>
        </w:numPr>
        <w:spacing w:before="0" w:after="240" w:line="276" w:lineRule="auto"/>
      </w:pPr>
      <w:r w:rsidRPr="00637C45">
        <w:t xml:space="preserve">pomyślne zakończenie testów samo-zgodności </w:t>
      </w:r>
      <w:r w:rsidR="00DE76DA" w:rsidRPr="00637C45">
        <w:t>powinno</w:t>
      </w:r>
      <w:r w:rsidRPr="00637C45">
        <w:t xml:space="preserve"> zostać potwierdzone przez DC MF.</w:t>
      </w:r>
    </w:p>
    <w:p w14:paraId="2A56EA53" w14:textId="008CD121" w:rsidR="00B151EE" w:rsidRPr="00AA1005" w:rsidRDefault="00DE0BB9" w:rsidP="00AA1005">
      <w:pPr>
        <w:pStyle w:val="Styl1"/>
        <w:rPr>
          <w:b w:val="0"/>
          <w:bCs w:val="0"/>
          <w:sz w:val="24"/>
          <w:szCs w:val="24"/>
        </w:rPr>
      </w:pPr>
      <w:r w:rsidRPr="00AA1005">
        <w:rPr>
          <w:rStyle w:val="Nagwek2Znak"/>
          <w:rFonts w:ascii="Lato" w:hAnsi="Lato"/>
          <w:b/>
          <w:bCs/>
        </w:rPr>
        <w:t>Unijna i polska d</w:t>
      </w:r>
      <w:r w:rsidR="00703A06" w:rsidRPr="00AA1005">
        <w:rPr>
          <w:rStyle w:val="Nagwek2Znak"/>
          <w:rFonts w:ascii="Lato" w:hAnsi="Lato"/>
          <w:b/>
          <w:bCs/>
        </w:rPr>
        <w:t>okumentacja do ICS2 i do AIS/ICS2</w:t>
      </w:r>
    </w:p>
    <w:p w14:paraId="142B9F4F" w14:textId="62C0CCA2" w:rsidR="00B151EE" w:rsidRPr="00637C45" w:rsidRDefault="00703A06" w:rsidP="00AA1005">
      <w:pPr>
        <w:pStyle w:val="TekstpismaMFodstep12"/>
        <w:numPr>
          <w:ilvl w:val="0"/>
          <w:numId w:val="2"/>
        </w:numPr>
        <w:spacing w:before="0" w:after="240" w:line="276" w:lineRule="auto"/>
      </w:pPr>
      <w:r w:rsidRPr="00637C45">
        <w:t xml:space="preserve">Dokumentacja ICS2 przygotowana przez Komisję Europejską UE dostępna jest </w:t>
      </w:r>
      <w:r w:rsidR="00044587">
        <w:t>pod adresem</w:t>
      </w:r>
      <w:r w:rsidRPr="00637C45">
        <w:t>:</w:t>
      </w:r>
      <w:r w:rsidR="009D291D" w:rsidRPr="00637C45">
        <w:t xml:space="preserve"> </w:t>
      </w:r>
    </w:p>
    <w:p w14:paraId="235C8005" w14:textId="20C6C65A" w:rsidR="009D291D" w:rsidRPr="00637C45" w:rsidRDefault="00044587" w:rsidP="00044587">
      <w:pPr>
        <w:pStyle w:val="TekstpismaMFodstep12"/>
        <w:spacing w:before="0" w:after="240" w:line="276" w:lineRule="auto"/>
        <w:ind w:left="720"/>
        <w:rPr>
          <w:b/>
          <w:bCs/>
        </w:rPr>
      </w:pPr>
      <w:hyperlink r:id="rId9" w:history="1">
        <w:r w:rsidR="00401544" w:rsidRPr="00637C45">
          <w:rPr>
            <w:rStyle w:val="Hipercze"/>
          </w:rPr>
          <w:t>https://circabc.europa.eu/ui/group/617eb8f3-5946-4fe5-a01f-42974a83b29c/library/56f96b30-cfbf-4d8c-b1f9-ccd63de7f63b</w:t>
        </w:r>
      </w:hyperlink>
    </w:p>
    <w:p w14:paraId="7CC7C33F" w14:textId="79C5EECE" w:rsidR="00703A06" w:rsidRPr="00637C45" w:rsidRDefault="00703A06" w:rsidP="00AA1005">
      <w:pPr>
        <w:pStyle w:val="TekstpismaMFodstep12"/>
        <w:numPr>
          <w:ilvl w:val="0"/>
          <w:numId w:val="2"/>
        </w:numPr>
        <w:spacing w:before="0" w:after="240" w:line="276" w:lineRule="auto"/>
      </w:pPr>
      <w:r w:rsidRPr="00637C45">
        <w:t xml:space="preserve">Dokumentacja przygotowana przez Krajową Administrację Skarbową jest </w:t>
      </w:r>
      <w:r w:rsidR="00044587">
        <w:t>pod adresem</w:t>
      </w:r>
      <w:r w:rsidRPr="00637C45">
        <w:t>:</w:t>
      </w:r>
    </w:p>
    <w:p w14:paraId="169A3BBB" w14:textId="0C8645C5" w:rsidR="00703A06" w:rsidRPr="00637C45" w:rsidRDefault="00044587" w:rsidP="00044587">
      <w:pPr>
        <w:pStyle w:val="TekstpismaMFodstep12"/>
        <w:spacing w:before="0" w:after="240" w:line="276" w:lineRule="auto"/>
        <w:ind w:left="708"/>
      </w:pPr>
      <w:hyperlink r:id="rId10" w:history="1">
        <w:r w:rsidR="00B151EE" w:rsidRPr="00637C45">
          <w:rPr>
            <w:rStyle w:val="Hipercze"/>
          </w:rPr>
          <w:t>https://puesc.gov.pl/uslugi/uslugi-sieciowe-informacje-i-specyfikacje/system-ais</w:t>
        </w:r>
      </w:hyperlink>
      <w:r w:rsidR="00B151EE" w:rsidRPr="00637C45">
        <w:t>,</w:t>
      </w:r>
      <w:r w:rsidR="009D291D" w:rsidRPr="00637C45">
        <w:t xml:space="preserve"> </w:t>
      </w:r>
      <w:r w:rsidR="00702C31" w:rsidRPr="00637C45">
        <w:t>w tym instrukcje i dokumentacja dotyczące AIS/ICS2 są w sekcji „Materiały informacyjne AIS –  AIS/ICS2</w:t>
      </w:r>
      <w:r w:rsidR="00703A06" w:rsidRPr="00637C45">
        <w:t>”.</w:t>
      </w:r>
    </w:p>
    <w:p w14:paraId="35F22184" w14:textId="2FD46AC2" w:rsidR="00703A06" w:rsidRPr="00AA1005" w:rsidRDefault="00703A06" w:rsidP="00AA1005">
      <w:pPr>
        <w:pStyle w:val="Styl1"/>
        <w:rPr>
          <w:rStyle w:val="Nagwek2Znak"/>
          <w:b/>
          <w:bCs/>
        </w:rPr>
      </w:pPr>
      <w:r w:rsidRPr="00AA1005">
        <w:rPr>
          <w:rStyle w:val="Nagwek2Znak"/>
          <w:b/>
          <w:bCs/>
        </w:rPr>
        <w:t>Testy samo-zgodności i test End-to-End (E2E)</w:t>
      </w:r>
      <w:r w:rsidR="009D291D" w:rsidRPr="00AA1005">
        <w:rPr>
          <w:rStyle w:val="Nagwek2Znak"/>
          <w:b/>
          <w:bCs/>
        </w:rPr>
        <w:t xml:space="preserve"> </w:t>
      </w:r>
      <w:r w:rsidRPr="00AA1005">
        <w:rPr>
          <w:rStyle w:val="Nagwek2Znak"/>
          <w:b/>
          <w:bCs/>
        </w:rPr>
        <w:t>prowadzone przez podmioty gospodarcze</w:t>
      </w:r>
    </w:p>
    <w:p w14:paraId="24FCA1B7" w14:textId="5A1043F9" w:rsidR="00703A06" w:rsidRPr="00637C45" w:rsidRDefault="00703A06" w:rsidP="00AA1005">
      <w:pPr>
        <w:pStyle w:val="TekstpismaMFodstep12"/>
        <w:spacing w:before="0" w:after="240" w:line="276" w:lineRule="auto"/>
      </w:pPr>
      <w:r w:rsidRPr="00637C45">
        <w:t>Uwzględniając informacje niniejszego komunikat</w:t>
      </w:r>
      <w:r w:rsidR="009D291D" w:rsidRPr="00637C45">
        <w:t>u</w:t>
      </w:r>
      <w:r w:rsidRPr="00637C45">
        <w:t xml:space="preserve">, DC MF uprzejmie prosi o przesłanie informacji na temat terminów, w których podmioty gospodarcze rejestrowane w Polsce zamierzają prowadzić testy samo-zgodności i testy E2E w zakresie wdrożenia etapu 3 ICS2. Jeśli dane PDS przesyłane będą do ICS 2 STI/STP za pośrednictwem ITSP, DC MF uprzejmie prosi o przesłanie takiej informacji ze wskazaniem ITSP oraz terminów, w których ten ITSP będzie prowadził testy samo-zgodności/testy E2E. W przesyłanej informacji, należy również wskazać rodzaj(e) transportu, którego złożenia PDS będą dotyczyły.   </w:t>
      </w:r>
    </w:p>
    <w:p w14:paraId="0AD4BE61" w14:textId="64374C33" w:rsidR="00703A06" w:rsidRPr="00637C45" w:rsidRDefault="00703A06" w:rsidP="00AA1005">
      <w:pPr>
        <w:pStyle w:val="TekstpismaMFodstep12"/>
        <w:spacing w:before="0" w:after="240" w:line="276" w:lineRule="auto"/>
      </w:pPr>
      <w:r w:rsidRPr="00637C45">
        <w:t xml:space="preserve">Przedmiotowe informacje proszę przesłać na adres e-mail: </w:t>
      </w:r>
      <w:hyperlink r:id="rId11" w:history="1">
        <w:r w:rsidR="009D291D" w:rsidRPr="00637C45">
          <w:rPr>
            <w:rStyle w:val="Hipercze"/>
          </w:rPr>
          <w:t>kontakt.ICS2@mf.gov.pl</w:t>
        </w:r>
      </w:hyperlink>
    </w:p>
    <w:p w14:paraId="3F16D29B" w14:textId="02BFDA60" w:rsidR="003A03BB" w:rsidRPr="00637C45" w:rsidRDefault="00703A06" w:rsidP="00AA1005">
      <w:pPr>
        <w:pStyle w:val="TekstpismaMFodstep12"/>
        <w:spacing w:before="0" w:after="240" w:line="276" w:lineRule="auto"/>
      </w:pPr>
      <w:r w:rsidRPr="00637C45">
        <w:t>Treść  tego komunikatu dostępna jest również w języku angielskim</w:t>
      </w:r>
      <w:r w:rsidR="00F434C1" w:rsidRPr="00637C45">
        <w:t>.</w:t>
      </w:r>
    </w:p>
    <w:p w14:paraId="20663C4B" w14:textId="77777777" w:rsidR="00703A06" w:rsidRDefault="00703A06" w:rsidP="00AA1005">
      <w:pPr>
        <w:pStyle w:val="TekstpismaMFodstep12"/>
        <w:spacing w:before="0" w:after="240" w:line="276" w:lineRule="auto"/>
        <w:rPr>
          <w:sz w:val="24"/>
          <w:szCs w:val="24"/>
        </w:rPr>
      </w:pPr>
    </w:p>
    <w:p w14:paraId="3163A090" w14:textId="2FA06803" w:rsidR="001B1831" w:rsidRPr="009051CE" w:rsidRDefault="0076332E" w:rsidP="004E5703">
      <w:pPr>
        <w:spacing w:before="360" w:line="264" w:lineRule="auto"/>
        <w:rPr>
          <w:rFonts w:asciiTheme="minorHAnsi" w:hAnsiTheme="minorHAnsi"/>
          <w:b/>
          <w:noProof/>
        </w:rPr>
      </w:pPr>
      <w:r w:rsidRPr="009051CE">
        <w:rPr>
          <w:b/>
        </w:rPr>
        <w:t>Informacje</w:t>
      </w:r>
      <w:r w:rsidR="001B1831" w:rsidRPr="009051CE">
        <w:rPr>
          <w:b/>
        </w:rPr>
        <w:t xml:space="preserve"> o publikacji</w:t>
      </w:r>
    </w:p>
    <w:p w14:paraId="5613859C" w14:textId="191E6DAD" w:rsidR="008C4718" w:rsidRPr="009B2767" w:rsidRDefault="009635A6" w:rsidP="004E5703">
      <w:pPr>
        <w:spacing w:line="264" w:lineRule="auto"/>
        <w:rPr>
          <w:lang w:eastAsia="pl-PL"/>
        </w:rPr>
      </w:pPr>
      <w:r w:rsidRPr="009B2767">
        <w:rPr>
          <w:lang w:eastAsia="pl-PL"/>
        </w:rPr>
        <w:t>Data</w:t>
      </w:r>
      <w:r w:rsidR="0035626F">
        <w:rPr>
          <w:lang w:eastAsia="pl-PL"/>
        </w:rPr>
        <w:t xml:space="preserve"> publikacji</w:t>
      </w:r>
      <w:r w:rsidR="001B1831" w:rsidRPr="009B2767">
        <w:rPr>
          <w:lang w:eastAsia="pl-PL"/>
        </w:rPr>
        <w:t xml:space="preserve">: </w:t>
      </w:r>
      <w:r w:rsidR="00832DAA">
        <w:rPr>
          <w:b/>
          <w:bCs/>
          <w:lang w:eastAsia="pl-PL"/>
        </w:rPr>
        <w:t>2</w:t>
      </w:r>
      <w:r w:rsidR="00210E48" w:rsidRPr="00210E48">
        <w:rPr>
          <w:b/>
          <w:bCs/>
          <w:lang w:eastAsia="pl-PL"/>
        </w:rPr>
        <w:t>.0</w:t>
      </w:r>
      <w:r w:rsidR="00832DAA">
        <w:rPr>
          <w:b/>
          <w:bCs/>
          <w:lang w:eastAsia="pl-PL"/>
        </w:rPr>
        <w:t>5</w:t>
      </w:r>
      <w:r w:rsidR="00210E48" w:rsidRPr="00210E48">
        <w:rPr>
          <w:b/>
          <w:bCs/>
          <w:lang w:eastAsia="pl-PL"/>
        </w:rPr>
        <w:t>.2024</w:t>
      </w:r>
    </w:p>
    <w:p w14:paraId="45F98E95" w14:textId="77777777" w:rsidR="0076332E" w:rsidRPr="009B2767" w:rsidRDefault="0076332E" w:rsidP="004E5703">
      <w:pPr>
        <w:spacing w:line="264" w:lineRule="auto"/>
        <w:rPr>
          <w:lang w:eastAsia="pl-PL"/>
        </w:rPr>
      </w:pPr>
      <w:r w:rsidRPr="009B2767">
        <w:rPr>
          <w:lang w:eastAsia="pl-PL"/>
        </w:rPr>
        <w:t xml:space="preserve">Komórka odpowiedzialna: </w:t>
      </w:r>
      <w:r w:rsidRPr="009B2767">
        <w:rPr>
          <w:b/>
          <w:lang w:eastAsia="pl-PL"/>
        </w:rPr>
        <w:t>Departamen</w:t>
      </w:r>
      <w:r w:rsidR="00EC4339" w:rsidRPr="009B2767">
        <w:rPr>
          <w:b/>
          <w:lang w:eastAsia="pl-PL"/>
        </w:rPr>
        <w:t xml:space="preserve">t </w:t>
      </w:r>
      <w:r w:rsidR="008A3469">
        <w:rPr>
          <w:b/>
          <w:lang w:eastAsia="pl-PL"/>
        </w:rPr>
        <w:t>Ceł</w:t>
      </w:r>
      <w:r w:rsidRPr="009B2767">
        <w:rPr>
          <w:b/>
          <w:lang w:eastAsia="pl-PL"/>
        </w:rPr>
        <w:t xml:space="preserve"> MF</w:t>
      </w:r>
    </w:p>
    <w:sectPr w:rsidR="0076332E" w:rsidRPr="009B2767" w:rsidSect="000042EB">
      <w:footerReference w:type="default" r:id="rId12"/>
      <w:headerReference w:type="first" r:id="rId13"/>
      <w:footerReference w:type="first" r:id="rId14"/>
      <w:pgSz w:w="11906" w:h="16838"/>
      <w:pgMar w:top="1985" w:right="1417" w:bottom="1417" w:left="1418" w:header="714" w:footer="5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82424" w14:textId="77777777" w:rsidR="00CB05E1" w:rsidRDefault="00CB05E1" w:rsidP="009B2767">
      <w:r>
        <w:separator/>
      </w:r>
    </w:p>
  </w:endnote>
  <w:endnote w:type="continuationSeparator" w:id="0">
    <w:p w14:paraId="3B2820F1" w14:textId="77777777" w:rsidR="00CB05E1" w:rsidRDefault="00CB05E1" w:rsidP="009B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altName w:val="Segoe UI"/>
    <w:panose1 w:val="020F0502020204030203"/>
    <w:charset w:val="EE"/>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CD97" w14:textId="0B6260B0" w:rsidR="0035265B" w:rsidRPr="00832DAA" w:rsidRDefault="0035265B" w:rsidP="00832DAA">
    <w:pPr>
      <w:pStyle w:val="Stopka"/>
    </w:pPr>
    <w:r w:rsidRPr="00832DAA">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BD64F" w14:textId="74809837" w:rsidR="0076332E" w:rsidRPr="00440C1B" w:rsidRDefault="000042EB" w:rsidP="00FF76FE">
    <w:pPr>
      <w:spacing w:before="0"/>
      <w:ind w:left="1276"/>
      <w:rPr>
        <w:sz w:val="18"/>
        <w:szCs w:val="18"/>
        <w:lang w:eastAsia="pl-PL"/>
      </w:rPr>
    </w:pPr>
    <w:r w:rsidRPr="00440C1B">
      <w:rPr>
        <w:sz w:val="18"/>
        <w:szCs w:val="18"/>
        <w:lang w:eastAsia="pl-P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9D1FE" w14:textId="77777777" w:rsidR="00CB05E1" w:rsidRDefault="00CB05E1" w:rsidP="009B2767">
      <w:r>
        <w:separator/>
      </w:r>
    </w:p>
  </w:footnote>
  <w:footnote w:type="continuationSeparator" w:id="0">
    <w:p w14:paraId="28B63CEF" w14:textId="77777777" w:rsidR="00CB05E1" w:rsidRDefault="00CB05E1" w:rsidP="009B2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372DE" w14:textId="77777777" w:rsidR="002F1D8E" w:rsidRDefault="000042EB" w:rsidP="009B2767">
    <w:pPr>
      <w:rPr>
        <w:rFonts w:cs="Arial"/>
        <w:sz w:val="20"/>
        <w:szCs w:val="20"/>
      </w:rPr>
    </w:pPr>
    <w:bookmarkStart w:id="0" w:name="_Toc46926486"/>
    <w:bookmarkStart w:id="1" w:name="_Hlk54348084"/>
    <w:bookmarkStart w:id="2" w:name="_Hlk54348085"/>
    <w:r>
      <w:rPr>
        <w:noProof/>
        <w:lang w:eastAsia="pl-PL"/>
      </w:rPr>
      <w:drawing>
        <wp:anchor distT="0" distB="0" distL="114300" distR="114300" simplePos="0" relativeHeight="251658240" behindDoc="1" locked="0" layoutInCell="1" allowOverlap="1" wp14:anchorId="73BEF120" wp14:editId="7F354664">
          <wp:simplePos x="0" y="0"/>
          <wp:positionH relativeFrom="column">
            <wp:posOffset>-52070</wp:posOffset>
          </wp:positionH>
          <wp:positionV relativeFrom="paragraph">
            <wp:posOffset>-196850</wp:posOffset>
          </wp:positionV>
          <wp:extent cx="2888615" cy="600075"/>
          <wp:effectExtent l="0" t="0" r="6985" b="9525"/>
          <wp:wrapTight wrapText="bothSides">
            <wp:wrapPolygon edited="0">
              <wp:start x="0" y="0"/>
              <wp:lineTo x="0" y="21257"/>
              <wp:lineTo x="6980" y="21257"/>
              <wp:lineTo x="21510" y="15086"/>
              <wp:lineTo x="21510" y="10971"/>
              <wp:lineTo x="21082" y="10286"/>
              <wp:lineTo x="20085" y="4114"/>
              <wp:lineTo x="6980" y="0"/>
              <wp:lineTo x="0" y="0"/>
            </wp:wrapPolygon>
          </wp:wrapTight>
          <wp:docPr id="18" name="Obraz 18" descr="Obiekt graficzny, który zawiera umieszczone obok siebie w kolejności od lewej strony:&#10;1. Znak graficzny i napis Krajowa Administracja Skarbowa.&#10;2. Znak graficzny i napis SISC.&#10;" title="Logo KAS, Logo SISC"/>
          <wp:cNvGraphicFramePr/>
          <a:graphic xmlns:a="http://schemas.openxmlformats.org/drawingml/2006/main">
            <a:graphicData uri="http://schemas.openxmlformats.org/drawingml/2006/picture">
              <pic:pic xmlns:pic="http://schemas.openxmlformats.org/drawingml/2006/picture">
                <pic:nvPicPr>
                  <pic:cNvPr id="1" name="Obraz 9"/>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88615" cy="600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F06F1">
      <w:rPr>
        <w:i/>
        <w:noProof/>
        <w:lang w:eastAsia="pl-PL"/>
      </w:rPr>
      <mc:AlternateContent>
        <mc:Choice Requires="wps">
          <w:drawing>
            <wp:anchor distT="0" distB="0" distL="114300" distR="114300" simplePos="0" relativeHeight="251656192" behindDoc="0" locked="0" layoutInCell="1" allowOverlap="1" wp14:anchorId="39DA6E94" wp14:editId="0BD0EE2C">
              <wp:simplePos x="0" y="0"/>
              <wp:positionH relativeFrom="column">
                <wp:posOffset>-900430</wp:posOffset>
              </wp:positionH>
              <wp:positionV relativeFrom="paragraph">
                <wp:posOffset>-462915</wp:posOffset>
              </wp:positionV>
              <wp:extent cx="3793490" cy="214630"/>
              <wp:effectExtent l="0" t="0" r="0" b="0"/>
              <wp:wrapNone/>
              <wp:docPr id="27" name="Prostokąt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3490" cy="214630"/>
                      </a:xfrm>
                      <a:prstGeom prst="rect">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F3809" id="Prostokąt 27" o:spid="_x0000_s1026" style="position:absolute;margin-left:-70.9pt;margin-top:-36.45pt;width:298.7pt;height:1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" fillcolor="red" stroked="f" strokeweight="2pt">
              <v:path arrowok="t"/>
            </v:rect>
          </w:pict>
        </mc:Fallback>
      </mc:AlternateContent>
    </w:r>
  </w:p>
  <w:p w14:paraId="76EA724E" w14:textId="77777777" w:rsidR="002F1D8E" w:rsidRDefault="002F1D8E" w:rsidP="009B2767"/>
  <w:bookmarkEnd w:id="0"/>
  <w:bookmarkEnd w:id="1"/>
  <w:bookmarkEnd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E5805"/>
    <w:multiLevelType w:val="hybridMultilevel"/>
    <w:tmpl w:val="0C72EA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1982409E"/>
    <w:multiLevelType w:val="hybridMultilevel"/>
    <w:tmpl w:val="6562FEBE"/>
    <w:lvl w:ilvl="0" w:tplc="04150019">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79341B"/>
    <w:multiLevelType w:val="hybridMultilevel"/>
    <w:tmpl w:val="3F68FA82"/>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 w15:restartNumberingAfterBreak="0">
    <w:nsid w:val="47182465"/>
    <w:multiLevelType w:val="hybridMultilevel"/>
    <w:tmpl w:val="74C6649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87B6A22"/>
    <w:multiLevelType w:val="hybridMultilevel"/>
    <w:tmpl w:val="EA80F2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33B46D0"/>
    <w:multiLevelType w:val="hybridMultilevel"/>
    <w:tmpl w:val="DFA8EC4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15:restartNumberingAfterBreak="0">
    <w:nsid w:val="682E0CB3"/>
    <w:multiLevelType w:val="hybridMultilevel"/>
    <w:tmpl w:val="ACCCB2EC"/>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7" w15:restartNumberingAfterBreak="0">
    <w:nsid w:val="683C1847"/>
    <w:multiLevelType w:val="hybridMultilevel"/>
    <w:tmpl w:val="02A81E7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6FFF5DA7"/>
    <w:multiLevelType w:val="hybridMultilevel"/>
    <w:tmpl w:val="0D225116"/>
    <w:lvl w:ilvl="0" w:tplc="394693BC">
      <w:start w:val="1"/>
      <w:numFmt w:val="decimal"/>
      <w:pStyle w:val="Styl1"/>
      <w:lvlText w:val="%1."/>
      <w:lvlJc w:val="left"/>
      <w:pPr>
        <w:ind w:left="720" w:hanging="360"/>
      </w:pPr>
      <w:rPr>
        <w:rFonts w:cstheme="minorBidi" w:hint="default"/>
        <w:b/>
        <w:bCs/>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5"/>
  </w:num>
  <w:num w:numId="5">
    <w:abstractNumId w:val="8"/>
  </w:num>
  <w:num w:numId="6">
    <w:abstractNumId w:val="4"/>
  </w:num>
  <w:num w:numId="7">
    <w:abstractNumId w:val="6"/>
  </w:num>
  <w:num w:numId="8">
    <w:abstractNumId w:val="0"/>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6FE"/>
    <w:rsid w:val="00002077"/>
    <w:rsid w:val="0000227D"/>
    <w:rsid w:val="000042EB"/>
    <w:rsid w:val="0001025B"/>
    <w:rsid w:val="00013F63"/>
    <w:rsid w:val="00016DF9"/>
    <w:rsid w:val="00023586"/>
    <w:rsid w:val="00036304"/>
    <w:rsid w:val="00042B43"/>
    <w:rsid w:val="00044587"/>
    <w:rsid w:val="000447DF"/>
    <w:rsid w:val="00044E33"/>
    <w:rsid w:val="00047EF6"/>
    <w:rsid w:val="00050A7E"/>
    <w:rsid w:val="000612BA"/>
    <w:rsid w:val="00065F92"/>
    <w:rsid w:val="0007011B"/>
    <w:rsid w:val="00070220"/>
    <w:rsid w:val="00082064"/>
    <w:rsid w:val="00085F6E"/>
    <w:rsid w:val="000876AE"/>
    <w:rsid w:val="000B3BE3"/>
    <w:rsid w:val="000B56B3"/>
    <w:rsid w:val="000C2B85"/>
    <w:rsid w:val="000C4FB3"/>
    <w:rsid w:val="000D26CE"/>
    <w:rsid w:val="000E54AD"/>
    <w:rsid w:val="000E5EE0"/>
    <w:rsid w:val="000F01FA"/>
    <w:rsid w:val="001026F0"/>
    <w:rsid w:val="001219F0"/>
    <w:rsid w:val="00141582"/>
    <w:rsid w:val="00150AA3"/>
    <w:rsid w:val="0015261C"/>
    <w:rsid w:val="00170724"/>
    <w:rsid w:val="001735FF"/>
    <w:rsid w:val="00175191"/>
    <w:rsid w:val="00176A24"/>
    <w:rsid w:val="00183B22"/>
    <w:rsid w:val="00192953"/>
    <w:rsid w:val="00196CA1"/>
    <w:rsid w:val="001A3216"/>
    <w:rsid w:val="001A3342"/>
    <w:rsid w:val="001B12C5"/>
    <w:rsid w:val="001B1831"/>
    <w:rsid w:val="001B1DA1"/>
    <w:rsid w:val="001B2F19"/>
    <w:rsid w:val="001C0E6F"/>
    <w:rsid w:val="001C2A10"/>
    <w:rsid w:val="001D6602"/>
    <w:rsid w:val="001D7470"/>
    <w:rsid w:val="001E058E"/>
    <w:rsid w:val="001E0C6B"/>
    <w:rsid w:val="001E112F"/>
    <w:rsid w:val="002047AC"/>
    <w:rsid w:val="00210E48"/>
    <w:rsid w:val="00213E43"/>
    <w:rsid w:val="00221FDA"/>
    <w:rsid w:val="00225D6D"/>
    <w:rsid w:val="00232FC3"/>
    <w:rsid w:val="0025146C"/>
    <w:rsid w:val="0025534D"/>
    <w:rsid w:val="00257F0E"/>
    <w:rsid w:val="00261642"/>
    <w:rsid w:val="00264CA3"/>
    <w:rsid w:val="00266A44"/>
    <w:rsid w:val="002709EB"/>
    <w:rsid w:val="0027694C"/>
    <w:rsid w:val="00284570"/>
    <w:rsid w:val="00292245"/>
    <w:rsid w:val="00293498"/>
    <w:rsid w:val="002A362C"/>
    <w:rsid w:val="002A7EEF"/>
    <w:rsid w:val="002B48B5"/>
    <w:rsid w:val="002C4B6F"/>
    <w:rsid w:val="002C69F3"/>
    <w:rsid w:val="002D7F9C"/>
    <w:rsid w:val="002E6A77"/>
    <w:rsid w:val="002F1AC2"/>
    <w:rsid w:val="002F1D8E"/>
    <w:rsid w:val="002F4632"/>
    <w:rsid w:val="002F5A3F"/>
    <w:rsid w:val="00306EB2"/>
    <w:rsid w:val="0032090C"/>
    <w:rsid w:val="0032278E"/>
    <w:rsid w:val="00322D6B"/>
    <w:rsid w:val="00323431"/>
    <w:rsid w:val="003325F0"/>
    <w:rsid w:val="00340945"/>
    <w:rsid w:val="0034750A"/>
    <w:rsid w:val="00351047"/>
    <w:rsid w:val="0035265B"/>
    <w:rsid w:val="003533EB"/>
    <w:rsid w:val="0035626F"/>
    <w:rsid w:val="00362E6D"/>
    <w:rsid w:val="003714DC"/>
    <w:rsid w:val="00373B41"/>
    <w:rsid w:val="0037465C"/>
    <w:rsid w:val="003747E2"/>
    <w:rsid w:val="00375BF6"/>
    <w:rsid w:val="00380BB2"/>
    <w:rsid w:val="0038239C"/>
    <w:rsid w:val="00383DDE"/>
    <w:rsid w:val="00393603"/>
    <w:rsid w:val="003A03BB"/>
    <w:rsid w:val="003A77AB"/>
    <w:rsid w:val="003B1F70"/>
    <w:rsid w:val="003B36A2"/>
    <w:rsid w:val="003B3A1A"/>
    <w:rsid w:val="003B7CB8"/>
    <w:rsid w:val="003C04FA"/>
    <w:rsid w:val="003C244F"/>
    <w:rsid w:val="003C281B"/>
    <w:rsid w:val="003C6A12"/>
    <w:rsid w:val="003D1FFB"/>
    <w:rsid w:val="003E58C0"/>
    <w:rsid w:val="003F0B57"/>
    <w:rsid w:val="003F15A8"/>
    <w:rsid w:val="003F1711"/>
    <w:rsid w:val="003F5302"/>
    <w:rsid w:val="00401544"/>
    <w:rsid w:val="00407094"/>
    <w:rsid w:val="0040758F"/>
    <w:rsid w:val="00407E66"/>
    <w:rsid w:val="00416159"/>
    <w:rsid w:val="00420277"/>
    <w:rsid w:val="0042028A"/>
    <w:rsid w:val="00423233"/>
    <w:rsid w:val="0043506E"/>
    <w:rsid w:val="004408E8"/>
    <w:rsid w:val="00440C1B"/>
    <w:rsid w:val="004478A8"/>
    <w:rsid w:val="004514E4"/>
    <w:rsid w:val="004543A2"/>
    <w:rsid w:val="004559E0"/>
    <w:rsid w:val="0045699E"/>
    <w:rsid w:val="004575F4"/>
    <w:rsid w:val="004624C7"/>
    <w:rsid w:val="00463530"/>
    <w:rsid w:val="00464DE7"/>
    <w:rsid w:val="004723AE"/>
    <w:rsid w:val="004734B5"/>
    <w:rsid w:val="0047458D"/>
    <w:rsid w:val="004815E8"/>
    <w:rsid w:val="00486F89"/>
    <w:rsid w:val="00490EA4"/>
    <w:rsid w:val="004A3BD4"/>
    <w:rsid w:val="004B4045"/>
    <w:rsid w:val="004C4D16"/>
    <w:rsid w:val="004C6F84"/>
    <w:rsid w:val="004D2A96"/>
    <w:rsid w:val="004D4F81"/>
    <w:rsid w:val="004E5703"/>
    <w:rsid w:val="004F0E26"/>
    <w:rsid w:val="00513E8B"/>
    <w:rsid w:val="005265E6"/>
    <w:rsid w:val="005267CB"/>
    <w:rsid w:val="00536FF7"/>
    <w:rsid w:val="00537181"/>
    <w:rsid w:val="00551AEC"/>
    <w:rsid w:val="00552FCC"/>
    <w:rsid w:val="005571EE"/>
    <w:rsid w:val="0057589A"/>
    <w:rsid w:val="00582D8C"/>
    <w:rsid w:val="00583514"/>
    <w:rsid w:val="005959B8"/>
    <w:rsid w:val="005A0733"/>
    <w:rsid w:val="005B4F90"/>
    <w:rsid w:val="005B71A8"/>
    <w:rsid w:val="005C3A04"/>
    <w:rsid w:val="005C421E"/>
    <w:rsid w:val="005C42B6"/>
    <w:rsid w:val="005C71FB"/>
    <w:rsid w:val="005E53DF"/>
    <w:rsid w:val="005E625B"/>
    <w:rsid w:val="005F3345"/>
    <w:rsid w:val="005F5191"/>
    <w:rsid w:val="005F572C"/>
    <w:rsid w:val="006030C1"/>
    <w:rsid w:val="006030D1"/>
    <w:rsid w:val="0060373F"/>
    <w:rsid w:val="006143C1"/>
    <w:rsid w:val="0061624A"/>
    <w:rsid w:val="00622C29"/>
    <w:rsid w:val="006332C6"/>
    <w:rsid w:val="00637C45"/>
    <w:rsid w:val="006404EA"/>
    <w:rsid w:val="00641E9F"/>
    <w:rsid w:val="00643A03"/>
    <w:rsid w:val="00653EC0"/>
    <w:rsid w:val="006544EF"/>
    <w:rsid w:val="00673448"/>
    <w:rsid w:val="006744E2"/>
    <w:rsid w:val="00685979"/>
    <w:rsid w:val="00685C65"/>
    <w:rsid w:val="00690827"/>
    <w:rsid w:val="00697145"/>
    <w:rsid w:val="006A2EA7"/>
    <w:rsid w:val="006A5797"/>
    <w:rsid w:val="006B0BB2"/>
    <w:rsid w:val="006C1E2A"/>
    <w:rsid w:val="006C30A6"/>
    <w:rsid w:val="006C65FA"/>
    <w:rsid w:val="006D60EB"/>
    <w:rsid w:val="006E1212"/>
    <w:rsid w:val="006E1F34"/>
    <w:rsid w:val="006E21A5"/>
    <w:rsid w:val="006E3E3F"/>
    <w:rsid w:val="006E5673"/>
    <w:rsid w:val="006E59C4"/>
    <w:rsid w:val="006F0C6C"/>
    <w:rsid w:val="006F7FB6"/>
    <w:rsid w:val="00700A66"/>
    <w:rsid w:val="00702C31"/>
    <w:rsid w:val="00702C93"/>
    <w:rsid w:val="00703A06"/>
    <w:rsid w:val="0071495B"/>
    <w:rsid w:val="00714B19"/>
    <w:rsid w:val="0072129D"/>
    <w:rsid w:val="007216BA"/>
    <w:rsid w:val="0072593D"/>
    <w:rsid w:val="00725A28"/>
    <w:rsid w:val="00733869"/>
    <w:rsid w:val="0073798B"/>
    <w:rsid w:val="00745C37"/>
    <w:rsid w:val="00746497"/>
    <w:rsid w:val="00752195"/>
    <w:rsid w:val="0076332E"/>
    <w:rsid w:val="00765334"/>
    <w:rsid w:val="0077314E"/>
    <w:rsid w:val="00776491"/>
    <w:rsid w:val="00785E6E"/>
    <w:rsid w:val="00791145"/>
    <w:rsid w:val="00793D9F"/>
    <w:rsid w:val="0079493F"/>
    <w:rsid w:val="00796E89"/>
    <w:rsid w:val="00797B7B"/>
    <w:rsid w:val="007A03FE"/>
    <w:rsid w:val="007A50BE"/>
    <w:rsid w:val="007A7426"/>
    <w:rsid w:val="007B1CFE"/>
    <w:rsid w:val="007B49F9"/>
    <w:rsid w:val="007C6BCF"/>
    <w:rsid w:val="007D1742"/>
    <w:rsid w:val="007E169F"/>
    <w:rsid w:val="007E1C0B"/>
    <w:rsid w:val="007E4E3C"/>
    <w:rsid w:val="007E5F62"/>
    <w:rsid w:val="007F06F1"/>
    <w:rsid w:val="007F29E4"/>
    <w:rsid w:val="007F3357"/>
    <w:rsid w:val="007F7D36"/>
    <w:rsid w:val="00800EA9"/>
    <w:rsid w:val="0080297E"/>
    <w:rsid w:val="0080601D"/>
    <w:rsid w:val="00812518"/>
    <w:rsid w:val="00824DFA"/>
    <w:rsid w:val="00824F66"/>
    <w:rsid w:val="00830F4D"/>
    <w:rsid w:val="00832DAA"/>
    <w:rsid w:val="00833747"/>
    <w:rsid w:val="0083383A"/>
    <w:rsid w:val="00840D6F"/>
    <w:rsid w:val="00841861"/>
    <w:rsid w:val="008519C6"/>
    <w:rsid w:val="00853478"/>
    <w:rsid w:val="008645D7"/>
    <w:rsid w:val="00886121"/>
    <w:rsid w:val="00896929"/>
    <w:rsid w:val="008A1C94"/>
    <w:rsid w:val="008A3469"/>
    <w:rsid w:val="008B45CF"/>
    <w:rsid w:val="008B468D"/>
    <w:rsid w:val="008C1D1F"/>
    <w:rsid w:val="008C2126"/>
    <w:rsid w:val="008C4718"/>
    <w:rsid w:val="008D4387"/>
    <w:rsid w:val="008D621F"/>
    <w:rsid w:val="008D6AF8"/>
    <w:rsid w:val="008D6F89"/>
    <w:rsid w:val="008F576E"/>
    <w:rsid w:val="009051CE"/>
    <w:rsid w:val="0090543B"/>
    <w:rsid w:val="00906194"/>
    <w:rsid w:val="0091104A"/>
    <w:rsid w:val="00913CE0"/>
    <w:rsid w:val="00916FBB"/>
    <w:rsid w:val="00917EC8"/>
    <w:rsid w:val="009232AD"/>
    <w:rsid w:val="009369C0"/>
    <w:rsid w:val="00937479"/>
    <w:rsid w:val="00937D8D"/>
    <w:rsid w:val="00940A53"/>
    <w:rsid w:val="009422A2"/>
    <w:rsid w:val="009427F9"/>
    <w:rsid w:val="00946481"/>
    <w:rsid w:val="009516B5"/>
    <w:rsid w:val="009544A2"/>
    <w:rsid w:val="00954A95"/>
    <w:rsid w:val="009635A6"/>
    <w:rsid w:val="00964CB3"/>
    <w:rsid w:val="00965309"/>
    <w:rsid w:val="00970A46"/>
    <w:rsid w:val="0097494C"/>
    <w:rsid w:val="00974A43"/>
    <w:rsid w:val="00974F7E"/>
    <w:rsid w:val="009759D7"/>
    <w:rsid w:val="0098082E"/>
    <w:rsid w:val="0098391A"/>
    <w:rsid w:val="00983D7A"/>
    <w:rsid w:val="00986729"/>
    <w:rsid w:val="00991433"/>
    <w:rsid w:val="009920F0"/>
    <w:rsid w:val="009936E1"/>
    <w:rsid w:val="009A0C33"/>
    <w:rsid w:val="009A4062"/>
    <w:rsid w:val="009A435A"/>
    <w:rsid w:val="009B065B"/>
    <w:rsid w:val="009B0F97"/>
    <w:rsid w:val="009B2767"/>
    <w:rsid w:val="009B7026"/>
    <w:rsid w:val="009C12AB"/>
    <w:rsid w:val="009C5DD7"/>
    <w:rsid w:val="009D291D"/>
    <w:rsid w:val="009E7A9E"/>
    <w:rsid w:val="009F38EF"/>
    <w:rsid w:val="00A00454"/>
    <w:rsid w:val="00A1376F"/>
    <w:rsid w:val="00A16242"/>
    <w:rsid w:val="00A204A3"/>
    <w:rsid w:val="00A23DB3"/>
    <w:rsid w:val="00A30230"/>
    <w:rsid w:val="00A3101E"/>
    <w:rsid w:val="00A42DD0"/>
    <w:rsid w:val="00A45C28"/>
    <w:rsid w:val="00A46873"/>
    <w:rsid w:val="00A50262"/>
    <w:rsid w:val="00A52FB8"/>
    <w:rsid w:val="00A5770B"/>
    <w:rsid w:val="00A60037"/>
    <w:rsid w:val="00A607FB"/>
    <w:rsid w:val="00A615DD"/>
    <w:rsid w:val="00A62217"/>
    <w:rsid w:val="00A71A6E"/>
    <w:rsid w:val="00A7203C"/>
    <w:rsid w:val="00A72529"/>
    <w:rsid w:val="00A82593"/>
    <w:rsid w:val="00A8566E"/>
    <w:rsid w:val="00A8777D"/>
    <w:rsid w:val="00A922EF"/>
    <w:rsid w:val="00AA0F04"/>
    <w:rsid w:val="00AA1005"/>
    <w:rsid w:val="00AA3CBE"/>
    <w:rsid w:val="00AA7B7B"/>
    <w:rsid w:val="00AB08EA"/>
    <w:rsid w:val="00AB5A6C"/>
    <w:rsid w:val="00AB744B"/>
    <w:rsid w:val="00AC0C43"/>
    <w:rsid w:val="00AC2D16"/>
    <w:rsid w:val="00AD180D"/>
    <w:rsid w:val="00AD1EB9"/>
    <w:rsid w:val="00AD37E8"/>
    <w:rsid w:val="00AD6DF5"/>
    <w:rsid w:val="00AD7B52"/>
    <w:rsid w:val="00AE4E91"/>
    <w:rsid w:val="00AE5CD5"/>
    <w:rsid w:val="00AE5E6B"/>
    <w:rsid w:val="00AF6DDB"/>
    <w:rsid w:val="00AF71EC"/>
    <w:rsid w:val="00AF7CC6"/>
    <w:rsid w:val="00B0268B"/>
    <w:rsid w:val="00B151EE"/>
    <w:rsid w:val="00B1762C"/>
    <w:rsid w:val="00B24C9F"/>
    <w:rsid w:val="00B24E55"/>
    <w:rsid w:val="00B24FAB"/>
    <w:rsid w:val="00B266CC"/>
    <w:rsid w:val="00B36E6C"/>
    <w:rsid w:val="00B41310"/>
    <w:rsid w:val="00B5036C"/>
    <w:rsid w:val="00B756FE"/>
    <w:rsid w:val="00B77FFD"/>
    <w:rsid w:val="00B82A5B"/>
    <w:rsid w:val="00B94A86"/>
    <w:rsid w:val="00B96BA2"/>
    <w:rsid w:val="00B9704C"/>
    <w:rsid w:val="00BA725A"/>
    <w:rsid w:val="00BA7884"/>
    <w:rsid w:val="00BB4778"/>
    <w:rsid w:val="00BB58D3"/>
    <w:rsid w:val="00BB6BF5"/>
    <w:rsid w:val="00BB7EF0"/>
    <w:rsid w:val="00BC2988"/>
    <w:rsid w:val="00BC42B1"/>
    <w:rsid w:val="00BC7A7D"/>
    <w:rsid w:val="00BD365C"/>
    <w:rsid w:val="00BD383B"/>
    <w:rsid w:val="00BE457A"/>
    <w:rsid w:val="00C00422"/>
    <w:rsid w:val="00C169D5"/>
    <w:rsid w:val="00C177B6"/>
    <w:rsid w:val="00C21B40"/>
    <w:rsid w:val="00C230F1"/>
    <w:rsid w:val="00C34221"/>
    <w:rsid w:val="00C37535"/>
    <w:rsid w:val="00C4502D"/>
    <w:rsid w:val="00C56304"/>
    <w:rsid w:val="00C93F86"/>
    <w:rsid w:val="00C943A1"/>
    <w:rsid w:val="00C95E43"/>
    <w:rsid w:val="00C96953"/>
    <w:rsid w:val="00CA0685"/>
    <w:rsid w:val="00CA078F"/>
    <w:rsid w:val="00CA1605"/>
    <w:rsid w:val="00CB05E1"/>
    <w:rsid w:val="00CC689E"/>
    <w:rsid w:val="00CD2F12"/>
    <w:rsid w:val="00CF325E"/>
    <w:rsid w:val="00D107BE"/>
    <w:rsid w:val="00D10CFA"/>
    <w:rsid w:val="00D1251E"/>
    <w:rsid w:val="00D13EFC"/>
    <w:rsid w:val="00D1541E"/>
    <w:rsid w:val="00D20718"/>
    <w:rsid w:val="00D2098D"/>
    <w:rsid w:val="00D24F4E"/>
    <w:rsid w:val="00D4589F"/>
    <w:rsid w:val="00D46D47"/>
    <w:rsid w:val="00D47789"/>
    <w:rsid w:val="00D57938"/>
    <w:rsid w:val="00D7758E"/>
    <w:rsid w:val="00D82626"/>
    <w:rsid w:val="00D844E7"/>
    <w:rsid w:val="00D90836"/>
    <w:rsid w:val="00D92C74"/>
    <w:rsid w:val="00DA223D"/>
    <w:rsid w:val="00DA4EFF"/>
    <w:rsid w:val="00DB0A4C"/>
    <w:rsid w:val="00DB4260"/>
    <w:rsid w:val="00DB6FD3"/>
    <w:rsid w:val="00DC4FF5"/>
    <w:rsid w:val="00DC789F"/>
    <w:rsid w:val="00DD3C30"/>
    <w:rsid w:val="00DD5A94"/>
    <w:rsid w:val="00DE0BB9"/>
    <w:rsid w:val="00DE76DA"/>
    <w:rsid w:val="00DE7B78"/>
    <w:rsid w:val="00DF5518"/>
    <w:rsid w:val="00DF5BEA"/>
    <w:rsid w:val="00DF6857"/>
    <w:rsid w:val="00DF7260"/>
    <w:rsid w:val="00E01B19"/>
    <w:rsid w:val="00E03C8B"/>
    <w:rsid w:val="00E05EAA"/>
    <w:rsid w:val="00E10E27"/>
    <w:rsid w:val="00E11A5C"/>
    <w:rsid w:val="00E1574D"/>
    <w:rsid w:val="00E22CD7"/>
    <w:rsid w:val="00E239D1"/>
    <w:rsid w:val="00E25EDB"/>
    <w:rsid w:val="00E263BD"/>
    <w:rsid w:val="00E3181E"/>
    <w:rsid w:val="00E67EB3"/>
    <w:rsid w:val="00E76C33"/>
    <w:rsid w:val="00E86E25"/>
    <w:rsid w:val="00E90D42"/>
    <w:rsid w:val="00E9693B"/>
    <w:rsid w:val="00EA0758"/>
    <w:rsid w:val="00EA241F"/>
    <w:rsid w:val="00EA6049"/>
    <w:rsid w:val="00EB3B53"/>
    <w:rsid w:val="00EB55FA"/>
    <w:rsid w:val="00EC321D"/>
    <w:rsid w:val="00EC4339"/>
    <w:rsid w:val="00EC787B"/>
    <w:rsid w:val="00ED01B9"/>
    <w:rsid w:val="00ED17BE"/>
    <w:rsid w:val="00EE7B26"/>
    <w:rsid w:val="00EF1025"/>
    <w:rsid w:val="00EF126C"/>
    <w:rsid w:val="00EF649C"/>
    <w:rsid w:val="00F04191"/>
    <w:rsid w:val="00F14272"/>
    <w:rsid w:val="00F15294"/>
    <w:rsid w:val="00F21D11"/>
    <w:rsid w:val="00F242CC"/>
    <w:rsid w:val="00F25C10"/>
    <w:rsid w:val="00F2617A"/>
    <w:rsid w:val="00F42B1B"/>
    <w:rsid w:val="00F42B75"/>
    <w:rsid w:val="00F434C1"/>
    <w:rsid w:val="00F651CF"/>
    <w:rsid w:val="00F70BC6"/>
    <w:rsid w:val="00F71A6D"/>
    <w:rsid w:val="00F85A55"/>
    <w:rsid w:val="00F94ACF"/>
    <w:rsid w:val="00F96484"/>
    <w:rsid w:val="00FA271C"/>
    <w:rsid w:val="00FA29A3"/>
    <w:rsid w:val="00FA4AC0"/>
    <w:rsid w:val="00FB53D4"/>
    <w:rsid w:val="00FC5407"/>
    <w:rsid w:val="00FE0279"/>
    <w:rsid w:val="00FE0604"/>
    <w:rsid w:val="00FE363F"/>
    <w:rsid w:val="00FE3AEF"/>
    <w:rsid w:val="00FF380A"/>
    <w:rsid w:val="00FF6435"/>
    <w:rsid w:val="00FF6797"/>
    <w:rsid w:val="00FF7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6F693B"/>
  <w15:docId w15:val="{25535E63-E247-4A14-A486-E3CE4D1E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2767"/>
    <w:pPr>
      <w:spacing w:before="120" w:after="0" w:line="324" w:lineRule="auto"/>
    </w:pPr>
    <w:rPr>
      <w:rFonts w:ascii="Arial" w:hAnsi="Arial"/>
    </w:rPr>
  </w:style>
  <w:style w:type="paragraph" w:styleId="Nagwek1">
    <w:name w:val="heading 1"/>
    <w:basedOn w:val="Nagwek2"/>
    <w:next w:val="Normalny"/>
    <w:link w:val="Nagwek1Znak"/>
    <w:uiPriority w:val="9"/>
    <w:qFormat/>
    <w:rsid w:val="00BB6BF5"/>
    <w:pPr>
      <w:outlineLvl w:val="0"/>
    </w:pPr>
    <w:rPr>
      <w:sz w:val="42"/>
      <w:szCs w:val="42"/>
    </w:rPr>
  </w:style>
  <w:style w:type="paragraph" w:styleId="Nagwek2">
    <w:name w:val="heading 2"/>
    <w:basedOn w:val="Normalny"/>
    <w:next w:val="Normalny"/>
    <w:link w:val="Nagwek2Znak"/>
    <w:uiPriority w:val="9"/>
    <w:unhideWhenUsed/>
    <w:qFormat/>
    <w:rsid w:val="00284570"/>
    <w:pPr>
      <w:keepNext/>
      <w:keepLines/>
      <w:spacing w:before="240" w:after="120"/>
      <w:outlineLvl w:val="1"/>
    </w:pPr>
    <w:rPr>
      <w:rFonts w:eastAsia="Times New Roman" w:cs="Arial"/>
      <w:b/>
      <w:bCs/>
      <w:color w:val="333333"/>
      <w:kern w:val="36"/>
      <w:sz w:val="28"/>
      <w:szCs w:val="28"/>
      <w:lang w:eastAsia="pl-PL"/>
    </w:rPr>
  </w:style>
  <w:style w:type="paragraph" w:styleId="Nagwek3">
    <w:name w:val="heading 3"/>
    <w:basedOn w:val="Normalny"/>
    <w:next w:val="Normalny"/>
    <w:link w:val="Nagwek3Znak"/>
    <w:uiPriority w:val="9"/>
    <w:unhideWhenUsed/>
    <w:qFormat/>
    <w:rsid w:val="009B2767"/>
    <w:pPr>
      <w:keepNext/>
      <w:keepLines/>
      <w:spacing w:after="120"/>
      <w:outlineLvl w:val="2"/>
    </w:pPr>
    <w:rPr>
      <w:rFonts w:eastAsia="Times New Roman" w:cs="Arial"/>
      <w:b/>
      <w:bCs/>
      <w:color w:val="333333"/>
      <w:sz w:val="24"/>
      <w:szCs w:val="27"/>
      <w:shd w:val="clear" w:color="auto" w:fill="FFFFFF"/>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BB6BF5"/>
    <w:pPr>
      <w:spacing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B6BF5"/>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BB6BF5"/>
    <w:rPr>
      <w:rFonts w:ascii="Arial" w:eastAsia="Times New Roman" w:hAnsi="Arial" w:cs="Arial"/>
      <w:b/>
      <w:bCs/>
      <w:color w:val="333333"/>
      <w:kern w:val="36"/>
      <w:sz w:val="42"/>
      <w:szCs w:val="42"/>
      <w:lang w:eastAsia="pl-PL"/>
    </w:rPr>
  </w:style>
  <w:style w:type="character" w:customStyle="1" w:styleId="Nagwek2Znak">
    <w:name w:val="Nagłówek 2 Znak"/>
    <w:basedOn w:val="Domylnaczcionkaakapitu"/>
    <w:link w:val="Nagwek2"/>
    <w:uiPriority w:val="9"/>
    <w:rsid w:val="00284570"/>
    <w:rPr>
      <w:rFonts w:ascii="Arial" w:eastAsia="Times New Roman" w:hAnsi="Arial" w:cs="Arial"/>
      <w:b/>
      <w:bCs/>
      <w:color w:val="333333"/>
      <w:kern w:val="36"/>
      <w:sz w:val="28"/>
      <w:szCs w:val="28"/>
      <w:lang w:eastAsia="pl-PL"/>
    </w:rPr>
  </w:style>
  <w:style w:type="paragraph" w:styleId="Nagwek">
    <w:name w:val="header"/>
    <w:basedOn w:val="Normalny"/>
    <w:link w:val="NagwekZnak"/>
    <w:uiPriority w:val="99"/>
    <w:unhideWhenUsed/>
    <w:rsid w:val="00D92C74"/>
    <w:pPr>
      <w:tabs>
        <w:tab w:val="center" w:pos="4536"/>
        <w:tab w:val="right" w:pos="9072"/>
      </w:tabs>
      <w:spacing w:line="240" w:lineRule="auto"/>
    </w:pPr>
  </w:style>
  <w:style w:type="character" w:customStyle="1" w:styleId="NagwekZnak">
    <w:name w:val="Nagłówek Znak"/>
    <w:basedOn w:val="Domylnaczcionkaakapitu"/>
    <w:link w:val="Nagwek"/>
    <w:uiPriority w:val="99"/>
    <w:rsid w:val="00D92C74"/>
  </w:style>
  <w:style w:type="paragraph" w:styleId="Stopka">
    <w:name w:val="footer"/>
    <w:basedOn w:val="Normalny"/>
    <w:link w:val="StopkaZnak"/>
    <w:uiPriority w:val="99"/>
    <w:unhideWhenUsed/>
    <w:rsid w:val="00D92C74"/>
    <w:pPr>
      <w:tabs>
        <w:tab w:val="center" w:pos="4536"/>
        <w:tab w:val="right" w:pos="9072"/>
      </w:tabs>
      <w:spacing w:line="240" w:lineRule="auto"/>
    </w:pPr>
  </w:style>
  <w:style w:type="character" w:customStyle="1" w:styleId="StopkaZnak">
    <w:name w:val="Stopka Znak"/>
    <w:basedOn w:val="Domylnaczcionkaakapitu"/>
    <w:link w:val="Stopka"/>
    <w:uiPriority w:val="99"/>
    <w:rsid w:val="00D92C74"/>
  </w:style>
  <w:style w:type="character" w:customStyle="1" w:styleId="Nagwek3Znak">
    <w:name w:val="Nagłówek 3 Znak"/>
    <w:basedOn w:val="Domylnaczcionkaakapitu"/>
    <w:link w:val="Nagwek3"/>
    <w:uiPriority w:val="9"/>
    <w:rsid w:val="009B2767"/>
    <w:rPr>
      <w:rFonts w:ascii="Arial" w:eastAsia="Times New Roman" w:hAnsi="Arial" w:cs="Arial"/>
      <w:b/>
      <w:bCs/>
      <w:color w:val="333333"/>
      <w:sz w:val="24"/>
      <w:szCs w:val="27"/>
      <w:lang w:eastAsia="pl-PL"/>
    </w:rPr>
  </w:style>
  <w:style w:type="paragraph" w:styleId="Akapitzlist">
    <w:name w:val="List Paragraph"/>
    <w:basedOn w:val="Normalny"/>
    <w:link w:val="AkapitzlistZnak"/>
    <w:qFormat/>
    <w:rsid w:val="002F1D8E"/>
    <w:pPr>
      <w:ind w:left="720"/>
      <w:contextualSpacing/>
    </w:pPr>
  </w:style>
  <w:style w:type="character" w:styleId="Hipercze">
    <w:name w:val="Hyperlink"/>
    <w:basedOn w:val="Domylnaczcionkaakapitu"/>
    <w:uiPriority w:val="99"/>
    <w:unhideWhenUsed/>
    <w:rsid w:val="006F7FB6"/>
    <w:rPr>
      <w:color w:val="0563C1"/>
      <w:u w:val="single"/>
    </w:rPr>
  </w:style>
  <w:style w:type="character" w:styleId="Odwoaniedokomentarza">
    <w:name w:val="annotation reference"/>
    <w:basedOn w:val="Domylnaczcionkaakapitu"/>
    <w:uiPriority w:val="99"/>
    <w:semiHidden/>
    <w:unhideWhenUsed/>
    <w:rsid w:val="006F7FB6"/>
    <w:rPr>
      <w:sz w:val="16"/>
      <w:szCs w:val="16"/>
    </w:rPr>
  </w:style>
  <w:style w:type="paragraph" w:styleId="Tekstkomentarza">
    <w:name w:val="annotation text"/>
    <w:basedOn w:val="Normalny"/>
    <w:link w:val="TekstkomentarzaZnak"/>
    <w:uiPriority w:val="99"/>
    <w:semiHidden/>
    <w:unhideWhenUsed/>
    <w:rsid w:val="006F7FB6"/>
    <w:pPr>
      <w:spacing w:line="240" w:lineRule="auto"/>
    </w:pPr>
    <w:rPr>
      <w:rFonts w:ascii="Calibri" w:hAnsi="Calibri" w:cs="Calibri"/>
      <w:sz w:val="20"/>
      <w:szCs w:val="20"/>
    </w:rPr>
  </w:style>
  <w:style w:type="character" w:customStyle="1" w:styleId="TekstkomentarzaZnak">
    <w:name w:val="Tekst komentarza Znak"/>
    <w:basedOn w:val="Domylnaczcionkaakapitu"/>
    <w:link w:val="Tekstkomentarza"/>
    <w:uiPriority w:val="99"/>
    <w:semiHidden/>
    <w:rsid w:val="006F7FB6"/>
    <w:rPr>
      <w:rFonts w:ascii="Calibri" w:hAnsi="Calibri" w:cs="Calibri"/>
      <w:sz w:val="20"/>
      <w:szCs w:val="20"/>
    </w:rPr>
  </w:style>
  <w:style w:type="paragraph" w:styleId="Tekstdymka">
    <w:name w:val="Balloon Text"/>
    <w:basedOn w:val="Normalny"/>
    <w:link w:val="TekstdymkaZnak"/>
    <w:uiPriority w:val="99"/>
    <w:semiHidden/>
    <w:unhideWhenUsed/>
    <w:rsid w:val="006F7FB6"/>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7FB6"/>
    <w:rPr>
      <w:rFonts w:ascii="Segoe UI" w:hAnsi="Segoe UI" w:cs="Segoe UI"/>
      <w:sz w:val="18"/>
      <w:szCs w:val="18"/>
    </w:rPr>
  </w:style>
  <w:style w:type="paragraph" w:styleId="Bezodstpw">
    <w:name w:val="No Spacing"/>
    <w:uiPriority w:val="1"/>
    <w:qFormat/>
    <w:rsid w:val="006F7FB6"/>
    <w:pPr>
      <w:spacing w:after="0" w:line="240" w:lineRule="auto"/>
    </w:pPr>
    <w:rPr>
      <w:rFonts w:ascii="Arial" w:hAnsi="Arial"/>
    </w:rPr>
  </w:style>
  <w:style w:type="paragraph" w:styleId="Tematkomentarza">
    <w:name w:val="annotation subject"/>
    <w:basedOn w:val="Tekstkomentarza"/>
    <w:next w:val="Tekstkomentarza"/>
    <w:link w:val="TematkomentarzaZnak"/>
    <w:uiPriority w:val="99"/>
    <w:semiHidden/>
    <w:unhideWhenUsed/>
    <w:rsid w:val="00FA271C"/>
    <w:pPr>
      <w:spacing w:after="160"/>
    </w:pPr>
    <w:rPr>
      <w:rFonts w:ascii="Arial" w:hAnsi="Arial" w:cstheme="minorBidi"/>
      <w:b/>
      <w:bCs/>
    </w:rPr>
  </w:style>
  <w:style w:type="character" w:customStyle="1" w:styleId="TematkomentarzaZnak">
    <w:name w:val="Temat komentarza Znak"/>
    <w:basedOn w:val="TekstkomentarzaZnak"/>
    <w:link w:val="Tematkomentarza"/>
    <w:uiPriority w:val="99"/>
    <w:semiHidden/>
    <w:rsid w:val="00FA271C"/>
    <w:rPr>
      <w:rFonts w:ascii="Arial" w:hAnsi="Arial" w:cs="Calibri"/>
      <w:b/>
      <w:bCs/>
      <w:sz w:val="20"/>
      <w:szCs w:val="20"/>
    </w:rPr>
  </w:style>
  <w:style w:type="character" w:customStyle="1" w:styleId="Nierozpoznanawzmianka1">
    <w:name w:val="Nierozpoznana wzmianka1"/>
    <w:basedOn w:val="Domylnaczcionkaakapitu"/>
    <w:uiPriority w:val="99"/>
    <w:semiHidden/>
    <w:unhideWhenUsed/>
    <w:rsid w:val="00A204A3"/>
    <w:rPr>
      <w:color w:val="605E5C"/>
      <w:shd w:val="clear" w:color="auto" w:fill="E1DFDD"/>
    </w:rPr>
  </w:style>
  <w:style w:type="character" w:styleId="UyteHipercze">
    <w:name w:val="FollowedHyperlink"/>
    <w:basedOn w:val="Domylnaczcionkaakapitu"/>
    <w:uiPriority w:val="99"/>
    <w:semiHidden/>
    <w:unhideWhenUsed/>
    <w:rsid w:val="00F04191"/>
    <w:rPr>
      <w:color w:val="954F72" w:themeColor="followedHyperlink"/>
      <w:u w:val="single"/>
    </w:rPr>
  </w:style>
  <w:style w:type="character" w:customStyle="1" w:styleId="Nierozpoznanawzmianka2">
    <w:name w:val="Nierozpoznana wzmianka2"/>
    <w:basedOn w:val="Domylnaczcionkaakapitu"/>
    <w:uiPriority w:val="99"/>
    <w:semiHidden/>
    <w:unhideWhenUsed/>
    <w:rsid w:val="000B3BE3"/>
    <w:rPr>
      <w:color w:val="605E5C"/>
      <w:shd w:val="clear" w:color="auto" w:fill="E1DFDD"/>
    </w:rPr>
  </w:style>
  <w:style w:type="paragraph" w:customStyle="1" w:styleId="Default">
    <w:name w:val="Default"/>
    <w:rsid w:val="00FF6797"/>
    <w:pPr>
      <w:autoSpaceDE w:val="0"/>
      <w:autoSpaceDN w:val="0"/>
      <w:adjustRightInd w:val="0"/>
      <w:spacing w:after="0" w:line="240" w:lineRule="auto"/>
    </w:pPr>
    <w:rPr>
      <w:rFonts w:ascii="Calibri" w:hAnsi="Calibri" w:cs="Calibri"/>
      <w:color w:val="000000"/>
      <w:sz w:val="24"/>
      <w:szCs w:val="24"/>
    </w:rPr>
  </w:style>
  <w:style w:type="character" w:customStyle="1" w:styleId="czeinternetowe">
    <w:name w:val="Łącze internetowe"/>
    <w:uiPriority w:val="99"/>
    <w:unhideWhenUsed/>
    <w:rsid w:val="00CD2F12"/>
    <w:rPr>
      <w:color w:val="0000FF"/>
      <w:u w:val="single"/>
    </w:rPr>
  </w:style>
  <w:style w:type="character" w:customStyle="1" w:styleId="AkapitzlistZnak">
    <w:name w:val="Akapit z listą Znak"/>
    <w:link w:val="Akapitzlist"/>
    <w:uiPriority w:val="34"/>
    <w:qFormat/>
    <w:rsid w:val="00CD2F12"/>
    <w:rPr>
      <w:rFonts w:ascii="Arial" w:hAnsi="Arial"/>
    </w:rPr>
  </w:style>
  <w:style w:type="character" w:customStyle="1" w:styleId="TekstpodstawowyZnak">
    <w:name w:val="Tekst podstawowy Znak"/>
    <w:basedOn w:val="Domylnaczcionkaakapitu"/>
    <w:link w:val="Tekstpodstawowy"/>
    <w:uiPriority w:val="1"/>
    <w:qFormat/>
    <w:rsid w:val="00065F92"/>
    <w:rPr>
      <w:rFonts w:eastAsia="Lato" w:cs="Lato"/>
      <w:sz w:val="24"/>
    </w:rPr>
  </w:style>
  <w:style w:type="paragraph" w:styleId="Tekstpodstawowy">
    <w:name w:val="Body Text"/>
    <w:basedOn w:val="Normalny"/>
    <w:link w:val="TekstpodstawowyZnak"/>
    <w:uiPriority w:val="1"/>
    <w:qFormat/>
    <w:rsid w:val="00065F92"/>
    <w:pPr>
      <w:widowControl w:val="0"/>
      <w:suppressAutoHyphens/>
      <w:spacing w:before="0" w:after="120" w:line="240" w:lineRule="auto"/>
    </w:pPr>
    <w:rPr>
      <w:rFonts w:asciiTheme="minorHAnsi" w:eastAsia="Lato" w:hAnsiTheme="minorHAnsi" w:cs="Lato"/>
      <w:sz w:val="24"/>
    </w:rPr>
  </w:style>
  <w:style w:type="character" w:customStyle="1" w:styleId="TekstpodstawowyZnak1">
    <w:name w:val="Tekst podstawowy Znak1"/>
    <w:basedOn w:val="Domylnaczcionkaakapitu"/>
    <w:uiPriority w:val="99"/>
    <w:semiHidden/>
    <w:rsid w:val="00065F92"/>
    <w:rPr>
      <w:rFonts w:ascii="Arial" w:hAnsi="Arial"/>
    </w:rPr>
  </w:style>
  <w:style w:type="character" w:customStyle="1" w:styleId="markedcontent">
    <w:name w:val="markedcontent"/>
    <w:basedOn w:val="Domylnaczcionkaakapitu"/>
    <w:rsid w:val="00B77FFD"/>
  </w:style>
  <w:style w:type="paragraph" w:customStyle="1" w:styleId="TekstpismaMFodstep12">
    <w:name w:val="Tekst pisma MF odstep 12"/>
    <w:basedOn w:val="Normalny"/>
    <w:rsid w:val="00A45C28"/>
    <w:pPr>
      <w:spacing w:before="240" w:line="260" w:lineRule="exact"/>
    </w:pPr>
    <w:rPr>
      <w:rFonts w:ascii="Lato" w:hAnsi="Lato"/>
    </w:rPr>
  </w:style>
  <w:style w:type="character" w:customStyle="1" w:styleId="Nierozpoznanawzmianka3">
    <w:name w:val="Nierozpoznana wzmianka3"/>
    <w:basedOn w:val="Domylnaczcionkaakapitu"/>
    <w:uiPriority w:val="99"/>
    <w:semiHidden/>
    <w:unhideWhenUsed/>
    <w:rsid w:val="00AE5CD5"/>
    <w:rPr>
      <w:color w:val="605E5C"/>
      <w:shd w:val="clear" w:color="auto" w:fill="E1DFDD"/>
    </w:rPr>
  </w:style>
  <w:style w:type="paragraph" w:customStyle="1" w:styleId="Styl1">
    <w:name w:val="Styl1"/>
    <w:basedOn w:val="Nagwek2"/>
    <w:link w:val="Styl1Znak"/>
    <w:qFormat/>
    <w:rsid w:val="00AA1005"/>
    <w:pPr>
      <w:numPr>
        <w:numId w:val="5"/>
      </w:numPr>
      <w:ind w:left="426" w:hanging="426"/>
    </w:pPr>
    <w:rPr>
      <w:rFonts w:ascii="Lato" w:hAnsi="Lato"/>
    </w:rPr>
  </w:style>
  <w:style w:type="character" w:customStyle="1" w:styleId="Styl1Znak">
    <w:name w:val="Styl1 Znak"/>
    <w:basedOn w:val="Nagwek2Znak"/>
    <w:link w:val="Styl1"/>
    <w:rsid w:val="00AA1005"/>
    <w:rPr>
      <w:rFonts w:ascii="Lato" w:eastAsia="Times New Roman" w:hAnsi="Lato" w:cs="Arial"/>
      <w:b/>
      <w:bCs/>
      <w:color w:val="333333"/>
      <w:kern w:val="36"/>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257330">
      <w:bodyDiv w:val="1"/>
      <w:marLeft w:val="0"/>
      <w:marRight w:val="0"/>
      <w:marTop w:val="0"/>
      <w:marBottom w:val="0"/>
      <w:divBdr>
        <w:top w:val="none" w:sz="0" w:space="0" w:color="auto"/>
        <w:left w:val="none" w:sz="0" w:space="0" w:color="auto"/>
        <w:bottom w:val="none" w:sz="0" w:space="0" w:color="auto"/>
        <w:right w:val="none" w:sz="0" w:space="0" w:color="auto"/>
      </w:divBdr>
    </w:div>
    <w:div w:id="737285964">
      <w:bodyDiv w:val="1"/>
      <w:marLeft w:val="0"/>
      <w:marRight w:val="0"/>
      <w:marTop w:val="0"/>
      <w:marBottom w:val="0"/>
      <w:divBdr>
        <w:top w:val="none" w:sz="0" w:space="0" w:color="auto"/>
        <w:left w:val="none" w:sz="0" w:space="0" w:color="auto"/>
        <w:bottom w:val="none" w:sz="0" w:space="0" w:color="auto"/>
        <w:right w:val="none" w:sz="0" w:space="0" w:color="auto"/>
      </w:divBdr>
    </w:div>
    <w:div w:id="833838680">
      <w:bodyDiv w:val="1"/>
      <w:marLeft w:val="0"/>
      <w:marRight w:val="0"/>
      <w:marTop w:val="0"/>
      <w:marBottom w:val="0"/>
      <w:divBdr>
        <w:top w:val="none" w:sz="0" w:space="0" w:color="auto"/>
        <w:left w:val="none" w:sz="0" w:space="0" w:color="auto"/>
        <w:bottom w:val="none" w:sz="0" w:space="0" w:color="auto"/>
        <w:right w:val="none" w:sz="0" w:space="0" w:color="auto"/>
      </w:divBdr>
    </w:div>
    <w:div w:id="1125387697">
      <w:bodyDiv w:val="1"/>
      <w:marLeft w:val="0"/>
      <w:marRight w:val="0"/>
      <w:marTop w:val="0"/>
      <w:marBottom w:val="0"/>
      <w:divBdr>
        <w:top w:val="none" w:sz="0" w:space="0" w:color="auto"/>
        <w:left w:val="none" w:sz="0" w:space="0" w:color="auto"/>
        <w:bottom w:val="none" w:sz="0" w:space="0" w:color="auto"/>
        <w:right w:val="none" w:sz="0" w:space="0" w:color="auto"/>
      </w:divBdr>
    </w:div>
    <w:div w:id="1233809913">
      <w:bodyDiv w:val="1"/>
      <w:marLeft w:val="0"/>
      <w:marRight w:val="0"/>
      <w:marTop w:val="0"/>
      <w:marBottom w:val="0"/>
      <w:divBdr>
        <w:top w:val="none" w:sz="0" w:space="0" w:color="auto"/>
        <w:left w:val="none" w:sz="0" w:space="0" w:color="auto"/>
        <w:bottom w:val="none" w:sz="0" w:space="0" w:color="auto"/>
        <w:right w:val="none" w:sz="0" w:space="0" w:color="auto"/>
      </w:divBdr>
    </w:div>
    <w:div w:id="1272740404">
      <w:bodyDiv w:val="1"/>
      <w:marLeft w:val="0"/>
      <w:marRight w:val="0"/>
      <w:marTop w:val="0"/>
      <w:marBottom w:val="0"/>
      <w:divBdr>
        <w:top w:val="none" w:sz="0" w:space="0" w:color="auto"/>
        <w:left w:val="none" w:sz="0" w:space="0" w:color="auto"/>
        <w:bottom w:val="none" w:sz="0" w:space="0" w:color="auto"/>
        <w:right w:val="none" w:sz="0" w:space="0" w:color="auto"/>
      </w:divBdr>
    </w:div>
    <w:div w:id="1288201086">
      <w:bodyDiv w:val="1"/>
      <w:marLeft w:val="0"/>
      <w:marRight w:val="0"/>
      <w:marTop w:val="0"/>
      <w:marBottom w:val="0"/>
      <w:divBdr>
        <w:top w:val="none" w:sz="0" w:space="0" w:color="auto"/>
        <w:left w:val="none" w:sz="0" w:space="0" w:color="auto"/>
        <w:bottom w:val="none" w:sz="0" w:space="0" w:color="auto"/>
        <w:right w:val="none" w:sz="0" w:space="0" w:color="auto"/>
      </w:divBdr>
    </w:div>
    <w:div w:id="1427308731">
      <w:bodyDiv w:val="1"/>
      <w:marLeft w:val="0"/>
      <w:marRight w:val="0"/>
      <w:marTop w:val="0"/>
      <w:marBottom w:val="0"/>
      <w:divBdr>
        <w:top w:val="none" w:sz="0" w:space="0" w:color="auto"/>
        <w:left w:val="none" w:sz="0" w:space="0" w:color="auto"/>
        <w:bottom w:val="none" w:sz="0" w:space="0" w:color="auto"/>
        <w:right w:val="none" w:sz="0" w:space="0" w:color="auto"/>
      </w:divBdr>
    </w:div>
    <w:div w:id="1429160944">
      <w:bodyDiv w:val="1"/>
      <w:marLeft w:val="0"/>
      <w:marRight w:val="0"/>
      <w:marTop w:val="0"/>
      <w:marBottom w:val="0"/>
      <w:divBdr>
        <w:top w:val="none" w:sz="0" w:space="0" w:color="auto"/>
        <w:left w:val="none" w:sz="0" w:space="0" w:color="auto"/>
        <w:bottom w:val="none" w:sz="0" w:space="0" w:color="auto"/>
        <w:right w:val="none" w:sz="0" w:space="0" w:color="auto"/>
      </w:divBdr>
    </w:div>
    <w:div w:id="1499035758">
      <w:bodyDiv w:val="1"/>
      <w:marLeft w:val="0"/>
      <w:marRight w:val="0"/>
      <w:marTop w:val="0"/>
      <w:marBottom w:val="0"/>
      <w:divBdr>
        <w:top w:val="none" w:sz="0" w:space="0" w:color="auto"/>
        <w:left w:val="none" w:sz="0" w:space="0" w:color="auto"/>
        <w:bottom w:val="none" w:sz="0" w:space="0" w:color="auto"/>
        <w:right w:val="none" w:sz="0" w:space="0" w:color="auto"/>
      </w:divBdr>
    </w:div>
    <w:div w:id="1954434343">
      <w:bodyDiv w:val="1"/>
      <w:marLeft w:val="0"/>
      <w:marRight w:val="0"/>
      <w:marTop w:val="0"/>
      <w:marBottom w:val="0"/>
      <w:divBdr>
        <w:top w:val="none" w:sz="0" w:space="0" w:color="auto"/>
        <w:left w:val="none" w:sz="0" w:space="0" w:color="auto"/>
        <w:bottom w:val="none" w:sz="0" w:space="0" w:color="auto"/>
        <w:right w:val="none" w:sz="0" w:space="0" w:color="auto"/>
      </w:divBdr>
    </w:div>
    <w:div w:id="208190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DC@mf.gov.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ntakt.ICS2@mf.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uesc.gov.pl/uslugi/uslugi-sieciowe-informacje-i-specyfikacje/system-ais" TargetMode="External"/><Relationship Id="rId4" Type="http://schemas.openxmlformats.org/officeDocument/2006/relationships/settings" Target="settings.xml"/><Relationship Id="rId9" Type="http://schemas.openxmlformats.org/officeDocument/2006/relationships/hyperlink" Target="https://circabc.europa.eu/ui/group/617eb8f3-5946-4fe5-a01f-42974a83b29c/library/56f96b30-cfbf-4d8c-b1f9-ccd63de7f63b"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BSZJ\Documents\2021%20III%20IV%20KWARTA&#321;\ZESP&#211;&#321;%20REDAKCYJNY%20PUESC\NEWSLETTERY\2021%2011%2017%20Newsletter%20nr%20x.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FC7F1-FBA3-47F7-8D67-3E9D9BE56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 11 17 Newsletter nr x.dotx</Template>
  <TotalTime>39</TotalTime>
  <Pages>4</Pages>
  <Words>1097</Words>
  <Characters>6585</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Newsletter nr Z/35/2022</vt:lpstr>
    </vt:vector>
  </TitlesOfParts>
  <Company>Izba Administracji Skarbowej</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ICS2 – wyjaśnienia dotyczące przesunięcia terminów wdrożenia przez podmioty gospodarcze</dc:title>
  <dc:subject>Temat newsletera</dc:subject>
  <dc:creator>-;DC8</dc:creator>
  <cp:keywords>ICS2</cp:keywords>
  <cp:lastModifiedBy>Damentko Monika</cp:lastModifiedBy>
  <cp:revision>5</cp:revision>
  <cp:lastPrinted>2022-06-07T08:58:00Z</cp:lastPrinted>
  <dcterms:created xsi:type="dcterms:W3CDTF">2024-05-02T10:56:00Z</dcterms:created>
  <dcterms:modified xsi:type="dcterms:W3CDTF">2024-05-02T11:30:00Z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UxC4dwLulzfINJ8nQH+xvX5LNGipWa4BRSZhPgxsCvnyU/IHmA8Z9qa1JRQ9Y77jqqzgRVnuUpWwAinV016hCA==</vt:lpwstr>
  </property>
  <property fmtid="{D5CDD505-2E9C-101B-9397-08002B2CF9AE}" pid="4" name="MFClassificationDate">
    <vt:lpwstr>2021-12-29T14:24:42.6631082+01:00</vt:lpwstr>
  </property>
  <property fmtid="{D5CDD505-2E9C-101B-9397-08002B2CF9AE}" pid="5" name="MFClassifiedBySID">
    <vt:lpwstr>UxC4dwLulzfINJ8nQH+xvX5LNGipWa4BRSZhPgxsCvm42mrIC/DSDv0ggS+FjUN/2v1BBotkLlY5aAiEhoi6ub5on8ifJsTDB+v/T2Uz67m2YO3Fwp6RJWWRCRYMnlDk</vt:lpwstr>
  </property>
  <property fmtid="{D5CDD505-2E9C-101B-9397-08002B2CF9AE}" pid="6" name="MFGRNItemId">
    <vt:lpwstr>GRN-21a3285e-434a-4a11-822c-83a807cf52a6</vt:lpwstr>
  </property>
  <property fmtid="{D5CDD505-2E9C-101B-9397-08002B2CF9AE}" pid="7" name="MFHash">
    <vt:lpwstr>TOfdQ2kNu2BgftffLCzBCIFe2xs14hPmteUhFmpQ2Kw=</vt:lpwstr>
  </property>
  <property fmtid="{D5CDD505-2E9C-101B-9397-08002B2CF9AE}" pid="8" name="MFVisualMarkingsSettings">
    <vt:lpwstr>HeaderAlignment=1;FooterAlignment=1</vt:lpwstr>
  </property>
  <property fmtid="{D5CDD505-2E9C-101B-9397-08002B2CF9AE}" pid="9" name="DLPManualFileClassification">
    <vt:lpwstr>{2755b7d9-e53d-4779-a40c-03797dcf43b3}</vt:lpwstr>
  </property>
  <property fmtid="{D5CDD505-2E9C-101B-9397-08002B2CF9AE}" pid="10" name="MFRefresh">
    <vt:lpwstr>False</vt:lpwstr>
  </property>
</Properties>
</file>