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6D7D" w14:textId="77777777" w:rsidR="00F205F1" w:rsidRPr="00E405D9" w:rsidRDefault="00F205F1" w:rsidP="00F205F1">
      <w:pPr>
        <w:jc w:val="both"/>
        <w:rPr>
          <w:rFonts w:ascii="Lato" w:hAnsi="Lato" w:cs="Times New Roman"/>
          <w:b/>
          <w:sz w:val="32"/>
          <w:szCs w:val="32"/>
          <w:lang w:val="en-GB"/>
        </w:rPr>
      </w:pPr>
      <w:r w:rsidRPr="00E405D9">
        <w:rPr>
          <w:rFonts w:ascii="Lato" w:hAnsi="Lato" w:cs="Times New Roman"/>
          <w:b/>
          <w:sz w:val="32"/>
          <w:szCs w:val="32"/>
          <w:lang w:val="en-GB"/>
        </w:rPr>
        <w:t xml:space="preserve">ICS2 system – clarifications on the postponement of implementation deadlines by economic operators </w:t>
      </w:r>
    </w:p>
    <w:p w14:paraId="26CA476D" w14:textId="77777777" w:rsidR="00F205F1" w:rsidRPr="00E405D9" w:rsidRDefault="00F205F1" w:rsidP="00F205F1">
      <w:pPr>
        <w:jc w:val="both"/>
        <w:rPr>
          <w:rFonts w:ascii="Lato" w:hAnsi="Lato" w:cs="Times New Roman"/>
          <w:sz w:val="24"/>
          <w:szCs w:val="24"/>
          <w:lang w:val="en-GB"/>
        </w:rPr>
      </w:pPr>
    </w:p>
    <w:p w14:paraId="3922F378" w14:textId="14CA81D7" w:rsidR="00F205F1" w:rsidRPr="00E405D9" w:rsidRDefault="00F205F1" w:rsidP="00F205F1">
      <w:pPr>
        <w:jc w:val="both"/>
        <w:rPr>
          <w:rFonts w:ascii="Lato" w:hAnsi="Lato" w:cs="Times New Roman"/>
          <w:b/>
          <w:sz w:val="24"/>
          <w:szCs w:val="24"/>
          <w:lang w:val="en-GB"/>
        </w:rPr>
      </w:pPr>
      <w:r w:rsidRPr="00E405D9">
        <w:rPr>
          <w:rFonts w:ascii="Lato" w:hAnsi="Lato" w:cs="Times New Roman"/>
          <w:b/>
          <w:sz w:val="24"/>
          <w:szCs w:val="24"/>
          <w:lang w:val="en-GB"/>
        </w:rPr>
        <w:t>1. Derogation from the obligation to the ICS2 system.</w:t>
      </w:r>
    </w:p>
    <w:p w14:paraId="2334593D" w14:textId="60F5DE0C" w:rsidR="007A0215" w:rsidRPr="007A0215" w:rsidRDefault="007A0215" w:rsidP="007A0215">
      <w:pPr>
        <w:jc w:val="both"/>
        <w:rPr>
          <w:rFonts w:ascii="Lato" w:hAnsi="Lato" w:cs="Times New Roman"/>
          <w:sz w:val="24"/>
          <w:szCs w:val="24"/>
          <w:lang w:val="en-GB"/>
        </w:rPr>
      </w:pPr>
      <w:r w:rsidRPr="007A0215">
        <w:rPr>
          <w:rFonts w:ascii="Lato" w:hAnsi="Lato" w:cs="Times New Roman"/>
          <w:sz w:val="24"/>
          <w:szCs w:val="24"/>
          <w:lang w:val="en-GB"/>
        </w:rPr>
        <w:t xml:space="preserve">With reference to the implementation of the EU ICS2 </w:t>
      </w:r>
      <w:r>
        <w:rPr>
          <w:rFonts w:ascii="Lato" w:hAnsi="Lato" w:cs="Times New Roman"/>
          <w:sz w:val="24"/>
          <w:szCs w:val="24"/>
          <w:lang w:val="en-GB"/>
        </w:rPr>
        <w:t>Release3 (R3)</w:t>
      </w:r>
      <w:r w:rsidRPr="007A0215">
        <w:rPr>
          <w:rFonts w:ascii="Lato" w:hAnsi="Lato" w:cs="Times New Roman"/>
          <w:sz w:val="24"/>
          <w:szCs w:val="24"/>
          <w:lang w:val="en-GB"/>
        </w:rPr>
        <w:t xml:space="preserve">, the Customs Department of the Ministry of Finance kindly informs that this </w:t>
      </w:r>
      <w:r>
        <w:rPr>
          <w:rFonts w:ascii="Lato" w:hAnsi="Lato" w:cs="Times New Roman"/>
          <w:sz w:val="24"/>
          <w:szCs w:val="24"/>
          <w:lang w:val="en-GB"/>
        </w:rPr>
        <w:t xml:space="preserve">phase </w:t>
      </w:r>
      <w:r w:rsidRPr="007A0215">
        <w:rPr>
          <w:rFonts w:ascii="Lato" w:hAnsi="Lato" w:cs="Times New Roman"/>
          <w:sz w:val="24"/>
          <w:szCs w:val="24"/>
          <w:lang w:val="en-GB"/>
        </w:rPr>
        <w:t>will be implemented in the following steps:</w:t>
      </w:r>
    </w:p>
    <w:p w14:paraId="2A504690" w14:textId="1D03DC51" w:rsidR="007A0215" w:rsidRPr="007A0215" w:rsidRDefault="007A0215" w:rsidP="007A0215">
      <w:pPr>
        <w:jc w:val="both"/>
        <w:rPr>
          <w:rFonts w:ascii="Lato" w:hAnsi="Lato" w:cs="Times New Roman"/>
          <w:sz w:val="24"/>
          <w:szCs w:val="24"/>
          <w:lang w:val="en-GB"/>
        </w:rPr>
      </w:pPr>
      <w:r w:rsidRPr="007A0215">
        <w:rPr>
          <w:rFonts w:ascii="Lato" w:hAnsi="Lato" w:cs="Times New Roman"/>
          <w:sz w:val="24"/>
          <w:szCs w:val="24"/>
          <w:lang w:val="en-GB"/>
        </w:rPr>
        <w:t>Step one - sea carriers will be obliged to use the ICS2 system</w:t>
      </w:r>
      <w:r>
        <w:rPr>
          <w:rFonts w:ascii="Lato" w:hAnsi="Lato" w:cs="Times New Roman"/>
          <w:sz w:val="24"/>
          <w:szCs w:val="24"/>
          <w:lang w:val="en-GB"/>
        </w:rPr>
        <w:t>,</w:t>
      </w:r>
      <w:r w:rsidRPr="007A0215">
        <w:rPr>
          <w:rFonts w:ascii="Lato" w:hAnsi="Lato" w:cs="Times New Roman"/>
          <w:sz w:val="24"/>
          <w:szCs w:val="24"/>
          <w:lang w:val="en-GB"/>
        </w:rPr>
        <w:t xml:space="preserve"> from </w:t>
      </w:r>
      <w:r>
        <w:rPr>
          <w:rFonts w:ascii="Lato" w:hAnsi="Lato" w:cs="Times New Roman"/>
          <w:sz w:val="24"/>
          <w:szCs w:val="24"/>
          <w:lang w:val="en-GB"/>
        </w:rPr>
        <w:t>03.06.</w:t>
      </w:r>
      <w:r w:rsidRPr="007A0215">
        <w:rPr>
          <w:rFonts w:ascii="Lato" w:hAnsi="Lato" w:cs="Times New Roman"/>
          <w:sz w:val="24"/>
          <w:szCs w:val="24"/>
          <w:lang w:val="en-GB"/>
        </w:rPr>
        <w:t>2024;</w:t>
      </w:r>
    </w:p>
    <w:p w14:paraId="64AFCE23" w14:textId="7FE8B20F" w:rsidR="007A0215" w:rsidRPr="007A0215" w:rsidRDefault="007A0215" w:rsidP="007A0215">
      <w:pPr>
        <w:jc w:val="both"/>
        <w:rPr>
          <w:rFonts w:ascii="Lato" w:hAnsi="Lato" w:cs="Times New Roman"/>
          <w:sz w:val="24"/>
          <w:szCs w:val="24"/>
          <w:lang w:val="en-GB"/>
        </w:rPr>
      </w:pPr>
      <w:r w:rsidRPr="007A0215">
        <w:rPr>
          <w:rFonts w:ascii="Lato" w:hAnsi="Lato" w:cs="Times New Roman"/>
          <w:sz w:val="24"/>
          <w:szCs w:val="24"/>
          <w:lang w:val="en-GB"/>
        </w:rPr>
        <w:t>Step two - forwarders/consolidators in sea transport will be obliged to use the ICS2 system</w:t>
      </w:r>
      <w:r>
        <w:rPr>
          <w:rFonts w:ascii="Lato" w:hAnsi="Lato" w:cs="Times New Roman"/>
          <w:sz w:val="24"/>
          <w:szCs w:val="24"/>
          <w:lang w:val="en-GB"/>
        </w:rPr>
        <w:t>,</w:t>
      </w:r>
      <w:r w:rsidRPr="007A0215">
        <w:rPr>
          <w:rFonts w:ascii="Lato" w:hAnsi="Lato" w:cs="Times New Roman"/>
          <w:sz w:val="24"/>
          <w:szCs w:val="24"/>
          <w:lang w:val="en-GB"/>
        </w:rPr>
        <w:t xml:space="preserve"> from </w:t>
      </w:r>
      <w:r>
        <w:rPr>
          <w:rFonts w:ascii="Lato" w:hAnsi="Lato" w:cs="Times New Roman"/>
          <w:sz w:val="24"/>
          <w:szCs w:val="24"/>
          <w:lang w:val="en-GB"/>
        </w:rPr>
        <w:t>04.12.2024</w:t>
      </w:r>
      <w:r w:rsidRPr="007A0215">
        <w:rPr>
          <w:rFonts w:ascii="Lato" w:hAnsi="Lato" w:cs="Times New Roman"/>
          <w:sz w:val="24"/>
          <w:szCs w:val="24"/>
          <w:lang w:val="en-GB"/>
        </w:rPr>
        <w:t>;</w:t>
      </w:r>
    </w:p>
    <w:p w14:paraId="2B9D473B" w14:textId="3E303646" w:rsidR="007A0215" w:rsidRDefault="007A0215" w:rsidP="007A0215">
      <w:pPr>
        <w:jc w:val="both"/>
        <w:rPr>
          <w:rFonts w:ascii="Lato" w:hAnsi="Lato" w:cs="Times New Roman"/>
          <w:sz w:val="24"/>
          <w:szCs w:val="24"/>
          <w:lang w:val="en-GB"/>
        </w:rPr>
      </w:pPr>
      <w:r w:rsidRPr="007A0215">
        <w:rPr>
          <w:rFonts w:ascii="Lato" w:hAnsi="Lato" w:cs="Times New Roman"/>
          <w:sz w:val="24"/>
          <w:szCs w:val="24"/>
          <w:lang w:val="en-GB"/>
        </w:rPr>
        <w:t>Step three - business entities handling the transport of parcels by road and rail will be obliged to use the ICS2 system</w:t>
      </w:r>
      <w:r>
        <w:rPr>
          <w:rFonts w:ascii="Lato" w:hAnsi="Lato" w:cs="Times New Roman"/>
          <w:sz w:val="24"/>
          <w:szCs w:val="24"/>
          <w:lang w:val="en-GB"/>
        </w:rPr>
        <w:t>,</w:t>
      </w:r>
      <w:r w:rsidRPr="007A0215">
        <w:rPr>
          <w:rFonts w:ascii="Lato" w:hAnsi="Lato" w:cs="Times New Roman"/>
          <w:sz w:val="24"/>
          <w:szCs w:val="24"/>
          <w:lang w:val="en-GB"/>
        </w:rPr>
        <w:t xml:space="preserve"> from </w:t>
      </w:r>
      <w:r w:rsidR="00211BD6">
        <w:rPr>
          <w:rFonts w:ascii="Lato" w:hAnsi="Lato" w:cs="Times New Roman"/>
          <w:sz w:val="24"/>
          <w:szCs w:val="24"/>
          <w:lang w:val="en-GB"/>
        </w:rPr>
        <w:t>01.04.2025</w:t>
      </w:r>
      <w:r w:rsidRPr="007A0215">
        <w:rPr>
          <w:rFonts w:ascii="Lato" w:hAnsi="Lato" w:cs="Times New Roman"/>
          <w:sz w:val="24"/>
          <w:szCs w:val="24"/>
          <w:lang w:val="en-GB"/>
        </w:rPr>
        <w:t>.</w:t>
      </w:r>
    </w:p>
    <w:p w14:paraId="0CE31864" w14:textId="21960D69" w:rsidR="00F205F1" w:rsidRPr="00E405D9" w:rsidRDefault="00F205F1" w:rsidP="007A0215">
      <w:pPr>
        <w:jc w:val="both"/>
        <w:rPr>
          <w:rFonts w:ascii="Lato" w:hAnsi="Lato" w:cs="Times New Roman"/>
          <w:sz w:val="24"/>
          <w:szCs w:val="24"/>
          <w:lang w:val="en-GB"/>
        </w:rPr>
      </w:pPr>
      <w:r w:rsidRPr="00E405D9">
        <w:rPr>
          <w:rFonts w:ascii="Lato" w:hAnsi="Lato" w:cs="Times New Roman"/>
          <w:sz w:val="24"/>
          <w:szCs w:val="24"/>
          <w:lang w:val="en-GB"/>
        </w:rPr>
        <w:t xml:space="preserve">With reference to the </w:t>
      </w:r>
      <w:r w:rsidR="007A0215">
        <w:rPr>
          <w:rFonts w:ascii="Lato" w:hAnsi="Lato" w:cs="Times New Roman"/>
          <w:sz w:val="24"/>
          <w:szCs w:val="24"/>
          <w:lang w:val="en-GB"/>
        </w:rPr>
        <w:t xml:space="preserve">above mentioned dates and in order </w:t>
      </w:r>
      <w:r w:rsidR="007A0215" w:rsidRPr="00E405D9">
        <w:rPr>
          <w:rFonts w:ascii="Lato" w:hAnsi="Lato" w:cs="Times New Roman"/>
          <w:sz w:val="24"/>
          <w:szCs w:val="24"/>
          <w:lang w:val="en-GB"/>
        </w:rPr>
        <w:t>to postpone the ICS2 implementation</w:t>
      </w:r>
      <w:r w:rsidRPr="00E405D9">
        <w:rPr>
          <w:rFonts w:ascii="Lato" w:hAnsi="Lato" w:cs="Times New Roman"/>
          <w:sz w:val="24"/>
          <w:szCs w:val="24"/>
          <w:lang w:val="en-GB"/>
        </w:rPr>
        <w:t>, economic operators that will not be able to use the ICS2 R</w:t>
      </w:r>
      <w:r w:rsidR="007A0215">
        <w:rPr>
          <w:rFonts w:ascii="Lato" w:hAnsi="Lato" w:cs="Times New Roman"/>
          <w:sz w:val="24"/>
          <w:szCs w:val="24"/>
          <w:lang w:val="en-GB"/>
        </w:rPr>
        <w:t>3 –</w:t>
      </w:r>
      <w:r w:rsidRPr="00E405D9">
        <w:rPr>
          <w:rFonts w:ascii="Lato" w:hAnsi="Lato" w:cs="Times New Roman"/>
          <w:sz w:val="24"/>
          <w:szCs w:val="24"/>
          <w:lang w:val="en-GB"/>
        </w:rPr>
        <w:t xml:space="preserve"> from the dates indicated above,  are entitled to use the deployment window (DW).</w:t>
      </w:r>
    </w:p>
    <w:p w14:paraId="7F2B66FA" w14:textId="77777777" w:rsidR="00F205F1" w:rsidRPr="00E405D9" w:rsidRDefault="00F205F1" w:rsidP="00F205F1">
      <w:pPr>
        <w:jc w:val="both"/>
        <w:rPr>
          <w:rFonts w:ascii="Lato" w:hAnsi="Lato" w:cs="Times New Roman"/>
          <w:sz w:val="24"/>
          <w:szCs w:val="24"/>
          <w:lang w:val="en-GB"/>
        </w:rPr>
      </w:pPr>
      <w:r w:rsidRPr="00E405D9">
        <w:rPr>
          <w:rFonts w:ascii="Lato" w:hAnsi="Lato" w:cs="Times New Roman"/>
          <w:sz w:val="24"/>
          <w:szCs w:val="24"/>
          <w:lang w:val="en-GB"/>
        </w:rPr>
        <w:t>Depending on the role played by a given economic operator in a business process, the length of the DW might be granted in the following time frames:</w:t>
      </w:r>
    </w:p>
    <w:p w14:paraId="3F1A7CEE" w14:textId="77777777" w:rsidR="00F205F1" w:rsidRPr="00E405D9" w:rsidRDefault="00F205F1" w:rsidP="0077001B">
      <w:pPr>
        <w:pStyle w:val="Akapitzlist"/>
        <w:numPr>
          <w:ilvl w:val="0"/>
          <w:numId w:val="1"/>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GB"/>
        </w:rPr>
        <w:t>Maritime and inland waterways carriers – from 03.06.2024 till 04.12.2024 r.;</w:t>
      </w:r>
    </w:p>
    <w:p w14:paraId="763796E4" w14:textId="77777777" w:rsidR="00F205F1" w:rsidRPr="00E405D9" w:rsidRDefault="00F205F1" w:rsidP="0077001B">
      <w:pPr>
        <w:pStyle w:val="Akapitzlist"/>
        <w:numPr>
          <w:ilvl w:val="0"/>
          <w:numId w:val="1"/>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GB"/>
        </w:rPr>
        <w:t>Maritime freight forwarders/consolidators and inland transport - from 04.12.2024 till 01.04.2025;</w:t>
      </w:r>
    </w:p>
    <w:p w14:paraId="4DA4A043" w14:textId="77777777" w:rsidR="00F205F1" w:rsidRPr="00E405D9" w:rsidRDefault="00F205F1" w:rsidP="0077001B">
      <w:pPr>
        <w:pStyle w:val="Akapitzlist"/>
        <w:numPr>
          <w:ilvl w:val="0"/>
          <w:numId w:val="1"/>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GB"/>
        </w:rPr>
        <w:t>road and rail carriers – from 01.04.2024 till 01.09.2025.</w:t>
      </w:r>
    </w:p>
    <w:p w14:paraId="3FA518DC" w14:textId="77777777" w:rsidR="00F205F1" w:rsidRDefault="00F205F1" w:rsidP="00F205F1">
      <w:pPr>
        <w:jc w:val="both"/>
        <w:rPr>
          <w:rFonts w:ascii="Lato" w:hAnsi="Lato" w:cs="Times New Roman"/>
          <w:sz w:val="24"/>
          <w:szCs w:val="24"/>
          <w:lang w:val="en-GB"/>
        </w:rPr>
      </w:pPr>
      <w:r>
        <w:rPr>
          <w:rFonts w:ascii="Lato" w:hAnsi="Lato" w:cs="Times New Roman"/>
          <w:sz w:val="24"/>
          <w:szCs w:val="24"/>
          <w:lang w:val="en-GB"/>
        </w:rPr>
        <w:t>A DW</w:t>
      </w:r>
      <w:r w:rsidRPr="008D7452">
        <w:rPr>
          <w:rFonts w:ascii="Lato" w:hAnsi="Lato" w:cs="Times New Roman"/>
          <w:sz w:val="24"/>
          <w:szCs w:val="24"/>
          <w:lang w:val="en-GB"/>
        </w:rPr>
        <w:t xml:space="preserve"> may be granted to </w:t>
      </w:r>
      <w:r>
        <w:rPr>
          <w:rFonts w:ascii="Lato" w:hAnsi="Lato" w:cs="Times New Roman"/>
          <w:sz w:val="24"/>
          <w:szCs w:val="24"/>
          <w:lang w:val="en-GB"/>
        </w:rPr>
        <w:t>economic operators having their</w:t>
      </w:r>
      <w:r w:rsidRPr="008D7452">
        <w:rPr>
          <w:rFonts w:ascii="Lato" w:hAnsi="Lato" w:cs="Times New Roman"/>
          <w:sz w:val="24"/>
          <w:szCs w:val="24"/>
          <w:lang w:val="en-GB"/>
        </w:rPr>
        <w:t xml:space="preserve"> business </w:t>
      </w:r>
      <w:r>
        <w:rPr>
          <w:rFonts w:ascii="Lato" w:hAnsi="Lato" w:cs="Times New Roman"/>
          <w:sz w:val="24"/>
          <w:szCs w:val="24"/>
          <w:lang w:val="en-GB"/>
        </w:rPr>
        <w:t xml:space="preserve">activity registered in Poland and </w:t>
      </w:r>
      <w:r w:rsidRPr="008D7452">
        <w:rPr>
          <w:rFonts w:ascii="Lato" w:hAnsi="Lato" w:cs="Times New Roman"/>
          <w:sz w:val="24"/>
          <w:szCs w:val="24"/>
          <w:lang w:val="en-GB"/>
        </w:rPr>
        <w:t xml:space="preserve">that are connecting the ICS2 system for the first time, or </w:t>
      </w:r>
      <w:r>
        <w:rPr>
          <w:rFonts w:ascii="Lato" w:hAnsi="Lato" w:cs="Times New Roman"/>
          <w:sz w:val="24"/>
          <w:szCs w:val="24"/>
          <w:lang w:val="en-GB"/>
        </w:rPr>
        <w:t xml:space="preserve">that are currently using the ICS2 R2 – </w:t>
      </w:r>
      <w:r w:rsidRPr="008D7452">
        <w:rPr>
          <w:rFonts w:ascii="Lato" w:hAnsi="Lato" w:cs="Times New Roman"/>
          <w:sz w:val="24"/>
          <w:szCs w:val="24"/>
          <w:lang w:val="en-GB"/>
        </w:rPr>
        <w:t xml:space="preserve">but have not implemented additional functionalities </w:t>
      </w:r>
      <w:r>
        <w:rPr>
          <w:rFonts w:ascii="Lato" w:hAnsi="Lato" w:cs="Times New Roman"/>
          <w:sz w:val="24"/>
          <w:szCs w:val="24"/>
          <w:lang w:val="en-GB"/>
        </w:rPr>
        <w:t xml:space="preserve">relevant </w:t>
      </w:r>
      <w:r w:rsidRPr="008D7452">
        <w:rPr>
          <w:rFonts w:ascii="Lato" w:hAnsi="Lato" w:cs="Times New Roman"/>
          <w:sz w:val="24"/>
          <w:szCs w:val="24"/>
          <w:lang w:val="en-GB"/>
        </w:rPr>
        <w:t xml:space="preserve">for </w:t>
      </w:r>
      <w:r>
        <w:rPr>
          <w:rFonts w:ascii="Lato" w:hAnsi="Lato" w:cs="Times New Roman"/>
          <w:sz w:val="24"/>
          <w:szCs w:val="24"/>
          <w:lang w:val="en-GB"/>
        </w:rPr>
        <w:t>the ICS2 R</w:t>
      </w:r>
      <w:r w:rsidRPr="008D7452">
        <w:rPr>
          <w:rFonts w:ascii="Lato" w:hAnsi="Lato" w:cs="Times New Roman"/>
          <w:sz w:val="24"/>
          <w:szCs w:val="24"/>
          <w:lang w:val="en-GB"/>
        </w:rPr>
        <w:t>3</w:t>
      </w:r>
      <w:r>
        <w:rPr>
          <w:rFonts w:ascii="Lato" w:hAnsi="Lato" w:cs="Times New Roman"/>
          <w:sz w:val="24"/>
          <w:szCs w:val="24"/>
          <w:lang w:val="en-GB"/>
        </w:rPr>
        <w:t xml:space="preserve"> yet</w:t>
      </w:r>
      <w:r w:rsidRPr="008D7452">
        <w:rPr>
          <w:rFonts w:ascii="Lato" w:hAnsi="Lato" w:cs="Times New Roman"/>
          <w:sz w:val="24"/>
          <w:szCs w:val="24"/>
          <w:lang w:val="en-GB"/>
        </w:rPr>
        <w:t>.</w:t>
      </w:r>
      <w:r>
        <w:rPr>
          <w:rFonts w:ascii="Lato" w:hAnsi="Lato" w:cs="Times New Roman"/>
          <w:sz w:val="24"/>
          <w:szCs w:val="24"/>
          <w:lang w:val="en-GB"/>
        </w:rPr>
        <w:t xml:space="preserve"> </w:t>
      </w:r>
    </w:p>
    <w:p w14:paraId="3BB786B0" w14:textId="77777777" w:rsidR="00F205F1" w:rsidRDefault="00F205F1" w:rsidP="00F205F1">
      <w:pPr>
        <w:jc w:val="both"/>
        <w:rPr>
          <w:rFonts w:ascii="Lato" w:hAnsi="Lato" w:cs="Times New Roman"/>
          <w:sz w:val="24"/>
          <w:szCs w:val="24"/>
          <w:lang w:val="en-GB"/>
        </w:rPr>
      </w:pPr>
      <w:r w:rsidRPr="008D7452">
        <w:rPr>
          <w:rFonts w:ascii="Lato" w:hAnsi="Lato" w:cs="Times New Roman"/>
          <w:sz w:val="24"/>
          <w:szCs w:val="24"/>
          <w:lang w:val="en-GB"/>
        </w:rPr>
        <w:t xml:space="preserve">The entity using the </w:t>
      </w:r>
      <w:r>
        <w:rPr>
          <w:rFonts w:ascii="Lato" w:hAnsi="Lato" w:cs="Times New Roman"/>
          <w:sz w:val="24"/>
          <w:szCs w:val="24"/>
          <w:lang w:val="en-GB"/>
        </w:rPr>
        <w:t>DW</w:t>
      </w:r>
      <w:r w:rsidRPr="008D7452">
        <w:rPr>
          <w:rFonts w:ascii="Lato" w:hAnsi="Lato" w:cs="Times New Roman"/>
          <w:sz w:val="24"/>
          <w:szCs w:val="24"/>
          <w:lang w:val="en-GB"/>
        </w:rPr>
        <w:t xml:space="preserve"> window should comply with the obligation to submit </w:t>
      </w:r>
      <w:r>
        <w:rPr>
          <w:rFonts w:ascii="Lato" w:hAnsi="Lato" w:cs="Times New Roman"/>
          <w:sz w:val="24"/>
          <w:szCs w:val="24"/>
          <w:lang w:val="en-GB"/>
        </w:rPr>
        <w:t>EN</w:t>
      </w:r>
      <w:r w:rsidRPr="008D7452">
        <w:rPr>
          <w:rFonts w:ascii="Lato" w:hAnsi="Lato" w:cs="Times New Roman"/>
          <w:sz w:val="24"/>
          <w:szCs w:val="24"/>
          <w:lang w:val="en-GB"/>
        </w:rPr>
        <w:t>S via the existing AIS/ICS system.</w:t>
      </w:r>
    </w:p>
    <w:p w14:paraId="0AB6F4D1" w14:textId="77777777" w:rsidR="00F205F1" w:rsidRPr="00E405D9" w:rsidRDefault="00F205F1" w:rsidP="00F205F1">
      <w:pPr>
        <w:jc w:val="both"/>
        <w:rPr>
          <w:rFonts w:ascii="Lato" w:hAnsi="Lato" w:cs="Times New Roman"/>
          <w:sz w:val="24"/>
          <w:szCs w:val="24"/>
          <w:lang w:val="en-GB"/>
        </w:rPr>
      </w:pPr>
      <w:r w:rsidRPr="00E405D9">
        <w:rPr>
          <w:rFonts w:ascii="Lato" w:hAnsi="Lato" w:cs="Times New Roman"/>
          <w:sz w:val="24"/>
          <w:szCs w:val="24"/>
          <w:lang w:val="en-GB"/>
        </w:rPr>
        <w:t>If rail and road carriers want to use the ICS2 R3 before the date on which these have an obligation to use the ICS2 (i.e. before 01.04.2025), the</w:t>
      </w:r>
      <w:r>
        <w:rPr>
          <w:rFonts w:ascii="Lato" w:hAnsi="Lato" w:cs="Times New Roman"/>
          <w:sz w:val="24"/>
          <w:szCs w:val="24"/>
          <w:lang w:val="en-GB"/>
        </w:rPr>
        <w:t>se are entitled to do so</w:t>
      </w:r>
      <w:r w:rsidRPr="00E405D9">
        <w:rPr>
          <w:rFonts w:ascii="Lato" w:hAnsi="Lato" w:cs="Times New Roman"/>
          <w:sz w:val="24"/>
          <w:szCs w:val="24"/>
          <w:lang w:val="en-GB"/>
        </w:rPr>
        <w:t xml:space="preserve"> – if they also operate in other types of transport, e.g. they act as maritime freight forwarders.</w:t>
      </w:r>
    </w:p>
    <w:p w14:paraId="27DAB877" w14:textId="77777777" w:rsidR="00F205F1" w:rsidRPr="00E405D9" w:rsidRDefault="00F205F1" w:rsidP="00F205F1">
      <w:pPr>
        <w:jc w:val="both"/>
        <w:rPr>
          <w:rFonts w:ascii="Lato" w:hAnsi="Lato" w:cs="Times New Roman"/>
          <w:sz w:val="24"/>
          <w:szCs w:val="24"/>
          <w:lang w:val="en"/>
        </w:rPr>
      </w:pPr>
      <w:r w:rsidRPr="00E405D9">
        <w:rPr>
          <w:rFonts w:ascii="Lato" w:hAnsi="Lato" w:cs="Times New Roman"/>
          <w:sz w:val="24"/>
          <w:szCs w:val="24"/>
          <w:lang w:val="en"/>
        </w:rPr>
        <w:lastRenderedPageBreak/>
        <w:t>Economic opera</w:t>
      </w:r>
      <w:r>
        <w:rPr>
          <w:rFonts w:ascii="Lato" w:hAnsi="Lato" w:cs="Times New Roman"/>
          <w:sz w:val="24"/>
          <w:szCs w:val="24"/>
          <w:lang w:val="en"/>
        </w:rPr>
        <w:t>tors operating several modes</w:t>
      </w:r>
      <w:r w:rsidRPr="00E405D9">
        <w:rPr>
          <w:rFonts w:ascii="Lato" w:hAnsi="Lato" w:cs="Times New Roman"/>
          <w:sz w:val="24"/>
          <w:szCs w:val="24"/>
          <w:lang w:val="en"/>
        </w:rPr>
        <w:t xml:space="preserve"> of transport might choose one date of the ICS2 R3 application for all types of their ENS submissions. However, this date should not be later than the earliest end date of the deployment window for the supported transport modes. For example, if an economic operator operates both as a maritime freight forwarder/consolidator and as a road carrier, the date from which this economic operator uses the ICS2 R3 system should be 01.04.2025, at the latest.</w:t>
      </w:r>
    </w:p>
    <w:p w14:paraId="0CE36C19" w14:textId="77777777" w:rsidR="00F205F1" w:rsidRDefault="00F205F1" w:rsidP="00F205F1">
      <w:pPr>
        <w:jc w:val="both"/>
        <w:rPr>
          <w:rFonts w:ascii="Lato" w:hAnsi="Lato" w:cs="Times New Roman"/>
          <w:sz w:val="24"/>
          <w:szCs w:val="24"/>
          <w:lang w:val="en-GB"/>
        </w:rPr>
      </w:pPr>
      <w:r w:rsidRPr="005610BC">
        <w:rPr>
          <w:rFonts w:ascii="Lato" w:hAnsi="Lato" w:cs="Times New Roman"/>
          <w:sz w:val="24"/>
          <w:szCs w:val="24"/>
          <w:lang w:val="en-GB"/>
        </w:rPr>
        <w:t xml:space="preserve">The obligation to obtain </w:t>
      </w:r>
      <w:r>
        <w:rPr>
          <w:rFonts w:ascii="Lato" w:hAnsi="Lato" w:cs="Times New Roman"/>
          <w:sz w:val="24"/>
          <w:szCs w:val="24"/>
          <w:lang w:val="en-GB"/>
        </w:rPr>
        <w:t xml:space="preserve">a </w:t>
      </w:r>
      <w:r w:rsidRPr="005610BC">
        <w:rPr>
          <w:rFonts w:ascii="Lato" w:hAnsi="Lato" w:cs="Times New Roman"/>
          <w:sz w:val="24"/>
          <w:szCs w:val="24"/>
          <w:lang w:val="en-GB"/>
        </w:rPr>
        <w:t xml:space="preserve">consent for the </w:t>
      </w:r>
      <w:r>
        <w:rPr>
          <w:rFonts w:ascii="Lato" w:hAnsi="Lato" w:cs="Times New Roman"/>
          <w:sz w:val="24"/>
          <w:szCs w:val="24"/>
          <w:lang w:val="en-GB"/>
        </w:rPr>
        <w:t xml:space="preserve">DW </w:t>
      </w:r>
      <w:r w:rsidRPr="005610BC">
        <w:rPr>
          <w:rFonts w:ascii="Lato" w:hAnsi="Lato" w:cs="Times New Roman"/>
          <w:sz w:val="24"/>
          <w:szCs w:val="24"/>
          <w:lang w:val="en-GB"/>
        </w:rPr>
        <w:t xml:space="preserve">applies to carriers and </w:t>
      </w:r>
      <w:r>
        <w:rPr>
          <w:rFonts w:ascii="Lato" w:hAnsi="Lato" w:cs="Times New Roman"/>
          <w:sz w:val="24"/>
          <w:szCs w:val="24"/>
          <w:lang w:val="en-GB"/>
        </w:rPr>
        <w:t>maritime</w:t>
      </w:r>
      <w:r w:rsidRPr="005610BC">
        <w:rPr>
          <w:rFonts w:ascii="Lato" w:hAnsi="Lato" w:cs="Times New Roman"/>
          <w:sz w:val="24"/>
          <w:szCs w:val="24"/>
          <w:lang w:val="en-GB"/>
        </w:rPr>
        <w:t xml:space="preserve"> consolidators/forwarders, as well a</w:t>
      </w:r>
      <w:r>
        <w:rPr>
          <w:rFonts w:ascii="Lato" w:hAnsi="Lato" w:cs="Times New Roman"/>
          <w:sz w:val="24"/>
          <w:szCs w:val="24"/>
          <w:lang w:val="en-GB"/>
        </w:rPr>
        <w:t xml:space="preserve">s rail carriers (road </w:t>
      </w:r>
      <w:r w:rsidRPr="005610BC">
        <w:rPr>
          <w:rFonts w:ascii="Lato" w:hAnsi="Lato" w:cs="Times New Roman"/>
          <w:sz w:val="24"/>
          <w:szCs w:val="24"/>
          <w:lang w:val="en-GB"/>
        </w:rPr>
        <w:t>carriers do not have to submit an official application).</w:t>
      </w:r>
    </w:p>
    <w:p w14:paraId="0BB6BDC6" w14:textId="77777777" w:rsidR="00F205F1" w:rsidRDefault="00F205F1" w:rsidP="00F205F1">
      <w:pPr>
        <w:jc w:val="both"/>
        <w:rPr>
          <w:rFonts w:ascii="Lato" w:hAnsi="Lato" w:cs="Times New Roman"/>
          <w:sz w:val="24"/>
          <w:szCs w:val="24"/>
          <w:lang w:val="en-GB"/>
        </w:rPr>
      </w:pPr>
      <w:r>
        <w:rPr>
          <w:rFonts w:ascii="Lato" w:hAnsi="Lato" w:cs="Times New Roman"/>
          <w:sz w:val="24"/>
          <w:szCs w:val="24"/>
          <w:lang w:val="en-GB"/>
        </w:rPr>
        <w:t>To obtain permission to apply the DW</w:t>
      </w:r>
      <w:r w:rsidRPr="005610BC">
        <w:rPr>
          <w:rFonts w:ascii="Lato" w:hAnsi="Lato" w:cs="Times New Roman"/>
          <w:sz w:val="24"/>
          <w:szCs w:val="24"/>
          <w:lang w:val="en-GB"/>
        </w:rPr>
        <w:t xml:space="preserve">, </w:t>
      </w:r>
      <w:r>
        <w:rPr>
          <w:rFonts w:ascii="Lato" w:hAnsi="Lato" w:cs="Times New Roman"/>
          <w:sz w:val="24"/>
          <w:szCs w:val="24"/>
          <w:lang w:val="en-GB"/>
        </w:rPr>
        <w:t>economic operators need to</w:t>
      </w:r>
      <w:r w:rsidRPr="005610BC">
        <w:rPr>
          <w:rFonts w:ascii="Lato" w:hAnsi="Lato" w:cs="Times New Roman"/>
          <w:sz w:val="24"/>
          <w:szCs w:val="24"/>
          <w:lang w:val="en-GB"/>
        </w:rPr>
        <w:t xml:space="preserve"> submit a formal </w:t>
      </w:r>
      <w:r>
        <w:rPr>
          <w:rFonts w:ascii="Lato" w:hAnsi="Lato" w:cs="Times New Roman"/>
          <w:sz w:val="24"/>
          <w:szCs w:val="24"/>
          <w:lang w:val="en-GB"/>
        </w:rPr>
        <w:t>request,</w:t>
      </w:r>
      <w:r w:rsidRPr="005610BC">
        <w:rPr>
          <w:rFonts w:ascii="Lato" w:hAnsi="Lato" w:cs="Times New Roman"/>
          <w:sz w:val="24"/>
          <w:szCs w:val="24"/>
          <w:lang w:val="en-GB"/>
        </w:rPr>
        <w:t xml:space="preserve"> in Polish or English (text format).</w:t>
      </w:r>
    </w:p>
    <w:p w14:paraId="60AA25F4" w14:textId="77777777" w:rsidR="00F205F1" w:rsidRPr="00E405D9" w:rsidRDefault="00F205F1" w:rsidP="0077001B">
      <w:pPr>
        <w:pStyle w:val="Akapitzlist"/>
        <w:numPr>
          <w:ilvl w:val="0"/>
          <w:numId w:val="2"/>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GB"/>
        </w:rPr>
        <w:t>economic operator’s name</w:t>
      </w:r>
      <w:r>
        <w:rPr>
          <w:rFonts w:ascii="Lato" w:hAnsi="Lato" w:cs="Times New Roman"/>
          <w:sz w:val="24"/>
          <w:szCs w:val="24"/>
          <w:lang w:val="en-GB"/>
        </w:rPr>
        <w:t xml:space="preserve">, </w:t>
      </w:r>
      <w:r w:rsidRPr="00E405D9">
        <w:rPr>
          <w:rFonts w:ascii="Lato" w:hAnsi="Lato" w:cs="Times New Roman"/>
          <w:sz w:val="24"/>
          <w:szCs w:val="24"/>
          <w:lang w:val="en-GB"/>
        </w:rPr>
        <w:t>EORI number</w:t>
      </w:r>
      <w:r>
        <w:rPr>
          <w:rFonts w:ascii="Lato" w:hAnsi="Lato" w:cs="Times New Roman"/>
          <w:sz w:val="24"/>
          <w:szCs w:val="24"/>
          <w:lang w:val="en-GB"/>
        </w:rPr>
        <w:t xml:space="preserve"> and registration date</w:t>
      </w:r>
      <w:r w:rsidRPr="00E405D9">
        <w:rPr>
          <w:rFonts w:ascii="Lato" w:hAnsi="Lato" w:cs="Times New Roman"/>
          <w:sz w:val="24"/>
          <w:szCs w:val="24"/>
          <w:lang w:val="en-GB"/>
        </w:rPr>
        <w:t>;</w:t>
      </w:r>
    </w:p>
    <w:p w14:paraId="7A7EF58D" w14:textId="77777777" w:rsidR="00F205F1" w:rsidRPr="00E405D9" w:rsidRDefault="00F205F1" w:rsidP="0077001B">
      <w:pPr>
        <w:pStyle w:val="Akapitzlist"/>
        <w:numPr>
          <w:ilvl w:val="0"/>
          <w:numId w:val="2"/>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GB"/>
        </w:rPr>
        <w:t>role in the ICS2 R3 business process (maritime/road/rail carrier, maritime freight forwarder);</w:t>
      </w:r>
    </w:p>
    <w:p w14:paraId="739F2259" w14:textId="77777777" w:rsidR="00F205F1" w:rsidRDefault="00F205F1" w:rsidP="0077001B">
      <w:pPr>
        <w:pStyle w:val="Akapitzlist"/>
        <w:numPr>
          <w:ilvl w:val="0"/>
          <w:numId w:val="2"/>
        </w:numPr>
        <w:spacing w:before="0" w:after="160" w:line="259" w:lineRule="auto"/>
        <w:jc w:val="both"/>
        <w:rPr>
          <w:rFonts w:ascii="Lato" w:hAnsi="Lato" w:cs="Times New Roman"/>
          <w:sz w:val="24"/>
          <w:szCs w:val="24"/>
          <w:lang w:val="en-GB"/>
        </w:rPr>
      </w:pPr>
      <w:r>
        <w:rPr>
          <w:rFonts w:ascii="Lato" w:hAnsi="Lato" w:cs="Times New Roman"/>
          <w:sz w:val="24"/>
          <w:szCs w:val="24"/>
          <w:lang w:val="en-GB"/>
        </w:rPr>
        <w:t xml:space="preserve">requested </w:t>
      </w:r>
      <w:r w:rsidRPr="00E405D9">
        <w:rPr>
          <w:rFonts w:ascii="Lato" w:hAnsi="Lato" w:cs="Times New Roman"/>
          <w:sz w:val="24"/>
          <w:szCs w:val="24"/>
          <w:lang w:val="en-GB"/>
        </w:rPr>
        <w:t xml:space="preserve">duration of the deployment window </w:t>
      </w:r>
      <w:r>
        <w:rPr>
          <w:rFonts w:ascii="Lato" w:hAnsi="Lato" w:cs="Times New Roman"/>
          <w:sz w:val="24"/>
          <w:szCs w:val="24"/>
          <w:lang w:val="en-GB"/>
        </w:rPr>
        <w:t>– "from date" - "to date";</w:t>
      </w:r>
    </w:p>
    <w:p w14:paraId="3AF5A18D" w14:textId="77777777" w:rsidR="00F205F1" w:rsidRPr="00E405D9" w:rsidRDefault="00F205F1" w:rsidP="0077001B">
      <w:pPr>
        <w:pStyle w:val="Akapitzlist"/>
        <w:numPr>
          <w:ilvl w:val="0"/>
          <w:numId w:val="2"/>
        </w:numPr>
        <w:spacing w:before="0" w:after="160" w:line="259" w:lineRule="auto"/>
        <w:jc w:val="both"/>
        <w:rPr>
          <w:rFonts w:ascii="Lato" w:hAnsi="Lato" w:cs="Times New Roman"/>
          <w:sz w:val="24"/>
          <w:szCs w:val="24"/>
          <w:lang w:val="en-GB"/>
        </w:rPr>
      </w:pPr>
      <w:r w:rsidRPr="00680490">
        <w:rPr>
          <w:rFonts w:ascii="Lato" w:hAnsi="Lato" w:cs="Times New Roman"/>
          <w:sz w:val="24"/>
          <w:szCs w:val="24"/>
          <w:lang w:val="en-GB"/>
        </w:rPr>
        <w:t xml:space="preserve">information whether </w:t>
      </w:r>
      <w:r>
        <w:rPr>
          <w:rFonts w:ascii="Lato" w:hAnsi="Lato" w:cs="Times New Roman"/>
          <w:sz w:val="24"/>
          <w:szCs w:val="24"/>
          <w:lang w:val="en-GB"/>
        </w:rPr>
        <w:t>EN</w:t>
      </w:r>
      <w:r w:rsidRPr="00680490">
        <w:rPr>
          <w:rFonts w:ascii="Lato" w:hAnsi="Lato" w:cs="Times New Roman"/>
          <w:sz w:val="24"/>
          <w:szCs w:val="24"/>
          <w:lang w:val="en-GB"/>
        </w:rPr>
        <w:t xml:space="preserve">S data </w:t>
      </w:r>
      <w:r>
        <w:rPr>
          <w:rFonts w:ascii="Lato" w:hAnsi="Lato" w:cs="Times New Roman"/>
          <w:sz w:val="24"/>
          <w:szCs w:val="24"/>
          <w:lang w:val="en-GB"/>
        </w:rPr>
        <w:t>is to</w:t>
      </w:r>
      <w:r w:rsidRPr="00680490">
        <w:rPr>
          <w:rFonts w:ascii="Lato" w:hAnsi="Lato" w:cs="Times New Roman"/>
          <w:sz w:val="24"/>
          <w:szCs w:val="24"/>
          <w:lang w:val="en-GB"/>
        </w:rPr>
        <w:t xml:space="preserve"> be submitted directly by the economic </w:t>
      </w:r>
      <w:r>
        <w:rPr>
          <w:rFonts w:ascii="Lato" w:hAnsi="Lato" w:cs="Times New Roman"/>
          <w:sz w:val="24"/>
          <w:szCs w:val="24"/>
          <w:lang w:val="en-GB"/>
        </w:rPr>
        <w:t>operator or by an</w:t>
      </w:r>
      <w:r w:rsidRPr="00680490">
        <w:rPr>
          <w:rFonts w:ascii="Lato" w:hAnsi="Lato" w:cs="Times New Roman"/>
          <w:sz w:val="24"/>
          <w:szCs w:val="24"/>
          <w:lang w:val="en-GB"/>
        </w:rPr>
        <w:t xml:space="preserve"> ITSP</w:t>
      </w:r>
      <w:r>
        <w:rPr>
          <w:rFonts w:ascii="Lato" w:hAnsi="Lato" w:cs="Times New Roman"/>
          <w:sz w:val="24"/>
          <w:szCs w:val="24"/>
          <w:lang w:val="en-GB"/>
        </w:rPr>
        <w:t>.</w:t>
      </w:r>
    </w:p>
    <w:p w14:paraId="7C436361" w14:textId="77777777" w:rsidR="00F205F1" w:rsidRPr="00E405D9" w:rsidRDefault="00F205F1" w:rsidP="00F205F1">
      <w:pPr>
        <w:jc w:val="both"/>
        <w:rPr>
          <w:rFonts w:ascii="Lato" w:hAnsi="Lato" w:cs="Times New Roman"/>
          <w:sz w:val="24"/>
          <w:szCs w:val="24"/>
          <w:lang w:val="en-GB"/>
        </w:rPr>
      </w:pPr>
      <w:r w:rsidRPr="00E405D9">
        <w:rPr>
          <w:rFonts w:ascii="Lato" w:hAnsi="Lato" w:cs="Times New Roman"/>
          <w:sz w:val="24"/>
          <w:szCs w:val="24"/>
          <w:lang w:val="en-GB"/>
        </w:rPr>
        <w:t xml:space="preserve">The above mentioned requests for deployment windows should be sent to the following e-mail address: </w:t>
      </w:r>
      <w:hyperlink r:id="rId8" w:history="1">
        <w:r w:rsidRPr="00E405D9">
          <w:rPr>
            <w:rStyle w:val="Hipercze"/>
            <w:rFonts w:ascii="Lato" w:hAnsi="Lato" w:cs="Times New Roman"/>
            <w:sz w:val="24"/>
            <w:szCs w:val="24"/>
            <w:lang w:val="en-GB"/>
          </w:rPr>
          <w:t>sekretariat.DC@mf.gov.pl</w:t>
        </w:r>
      </w:hyperlink>
      <w:r w:rsidRPr="00E405D9">
        <w:rPr>
          <w:rFonts w:ascii="Lato" w:hAnsi="Lato" w:cs="Times New Roman"/>
          <w:sz w:val="24"/>
          <w:szCs w:val="24"/>
          <w:lang w:val="en-GB"/>
        </w:rPr>
        <w:t>.</w:t>
      </w:r>
    </w:p>
    <w:p w14:paraId="4048732E" w14:textId="77777777" w:rsidR="00F205F1" w:rsidRPr="00E405D9" w:rsidRDefault="00F205F1" w:rsidP="00F205F1">
      <w:pPr>
        <w:jc w:val="both"/>
        <w:rPr>
          <w:rFonts w:ascii="Lato" w:hAnsi="Lato" w:cs="Times New Roman"/>
          <w:sz w:val="24"/>
          <w:szCs w:val="24"/>
          <w:lang w:val="en-GB"/>
        </w:rPr>
      </w:pPr>
      <w:r w:rsidRPr="00E405D9">
        <w:rPr>
          <w:rFonts w:ascii="Lato" w:hAnsi="Lato" w:cs="Times New Roman"/>
          <w:sz w:val="24"/>
          <w:szCs w:val="24"/>
          <w:lang w:val="en-GB"/>
        </w:rPr>
        <w:t>The consent granted will apply in all EU Member States.</w:t>
      </w:r>
    </w:p>
    <w:p w14:paraId="367777C4" w14:textId="77777777" w:rsidR="00F205F1" w:rsidRPr="000F793C" w:rsidRDefault="00F205F1" w:rsidP="0077001B">
      <w:pPr>
        <w:pStyle w:val="Akapitzlist"/>
        <w:numPr>
          <w:ilvl w:val="0"/>
          <w:numId w:val="5"/>
        </w:numPr>
        <w:spacing w:before="0" w:after="160" w:line="259" w:lineRule="auto"/>
        <w:ind w:left="426" w:hanging="426"/>
        <w:jc w:val="both"/>
        <w:rPr>
          <w:rFonts w:ascii="Lato" w:hAnsi="Lato" w:cs="Times New Roman"/>
          <w:b/>
          <w:sz w:val="24"/>
          <w:szCs w:val="24"/>
          <w:lang w:val="en-GB"/>
        </w:rPr>
      </w:pPr>
      <w:r w:rsidRPr="000F793C">
        <w:rPr>
          <w:rFonts w:ascii="Lato" w:hAnsi="Lato" w:cs="Times New Roman"/>
          <w:b/>
          <w:sz w:val="24"/>
          <w:szCs w:val="24"/>
          <w:lang w:val="en-GB"/>
        </w:rPr>
        <w:t>Use of the ICS2 R3 system before the deployment dates mentioned in point 1 of this communication.</w:t>
      </w:r>
    </w:p>
    <w:p w14:paraId="203A5BB1" w14:textId="77777777" w:rsidR="00F205F1" w:rsidRPr="00E405D9" w:rsidRDefault="00F205F1" w:rsidP="00F205F1">
      <w:pPr>
        <w:jc w:val="both"/>
        <w:rPr>
          <w:rFonts w:ascii="Lato" w:hAnsi="Lato" w:cs="Times New Roman"/>
          <w:sz w:val="24"/>
          <w:szCs w:val="24"/>
          <w:lang w:val="en-IE"/>
        </w:rPr>
      </w:pPr>
      <w:r w:rsidRPr="00E405D9">
        <w:rPr>
          <w:rFonts w:ascii="Lato" w:hAnsi="Lato" w:cs="Times New Roman"/>
          <w:sz w:val="24"/>
          <w:szCs w:val="24"/>
          <w:lang w:val="en-IE"/>
        </w:rPr>
        <w:t>Economic operators registered in Poland and willing to use the ICS2 R3:</w:t>
      </w:r>
    </w:p>
    <w:p w14:paraId="79DC65B2" w14:textId="77777777" w:rsidR="00F205F1" w:rsidRPr="00E405D9" w:rsidRDefault="00F205F1" w:rsidP="0077001B">
      <w:pPr>
        <w:numPr>
          <w:ilvl w:val="0"/>
          <w:numId w:val="3"/>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IE"/>
        </w:rPr>
        <w:t>before the date on which the obligation to use ICS2 arises (for the specific role of the economic operator in the ICS2 business process) or</w:t>
      </w:r>
    </w:p>
    <w:p w14:paraId="17365A0C" w14:textId="77777777" w:rsidR="00F205F1" w:rsidRPr="00E405D9" w:rsidRDefault="00F205F1" w:rsidP="0077001B">
      <w:pPr>
        <w:numPr>
          <w:ilvl w:val="0"/>
          <w:numId w:val="3"/>
        </w:numPr>
        <w:spacing w:before="0" w:after="160" w:line="259" w:lineRule="auto"/>
        <w:jc w:val="both"/>
        <w:rPr>
          <w:rFonts w:ascii="Lato" w:hAnsi="Lato" w:cs="Times New Roman"/>
          <w:sz w:val="24"/>
          <w:szCs w:val="24"/>
          <w:lang w:val="en-GB"/>
        </w:rPr>
      </w:pPr>
      <w:r w:rsidRPr="00E405D9">
        <w:rPr>
          <w:rFonts w:ascii="Lato" w:hAnsi="Lato" w:cs="Times New Roman"/>
          <w:sz w:val="24"/>
          <w:szCs w:val="24"/>
          <w:lang w:val="en-IE"/>
        </w:rPr>
        <w:t xml:space="preserve">before the end of the granted deployment window </w:t>
      </w:r>
    </w:p>
    <w:p w14:paraId="1B2945EB" w14:textId="77777777" w:rsidR="00F205F1" w:rsidRPr="00E405D9" w:rsidRDefault="00F205F1" w:rsidP="00F205F1">
      <w:pPr>
        <w:spacing w:before="240" w:after="240"/>
        <w:jc w:val="both"/>
        <w:rPr>
          <w:rFonts w:ascii="Lato" w:hAnsi="Lato" w:cs="Times New Roman"/>
          <w:sz w:val="24"/>
          <w:szCs w:val="24"/>
          <w:lang w:val="en-GB"/>
        </w:rPr>
      </w:pPr>
      <w:r w:rsidRPr="00E405D9">
        <w:rPr>
          <w:rFonts w:ascii="Lato" w:hAnsi="Lato" w:cs="Times New Roman"/>
          <w:sz w:val="24"/>
          <w:szCs w:val="24"/>
          <w:lang w:val="en-GB"/>
        </w:rPr>
        <w:t xml:space="preserve">should inform the DC MF about such the intention, </w:t>
      </w:r>
      <w:r w:rsidRPr="000F793C">
        <w:rPr>
          <w:rFonts w:ascii="Lato" w:hAnsi="Lato" w:cs="Times New Roman"/>
          <w:b/>
          <w:sz w:val="24"/>
          <w:szCs w:val="24"/>
          <w:lang w:val="en-GB"/>
        </w:rPr>
        <w:t>at least</w:t>
      </w:r>
      <w:r>
        <w:rPr>
          <w:rFonts w:ascii="Lato" w:hAnsi="Lato" w:cs="Times New Roman"/>
          <w:b/>
          <w:sz w:val="24"/>
          <w:szCs w:val="24"/>
          <w:lang w:val="en-GB"/>
        </w:rPr>
        <w:t>,</w:t>
      </w:r>
      <w:r w:rsidRPr="000F793C">
        <w:rPr>
          <w:rFonts w:ascii="Lato" w:hAnsi="Lato" w:cs="Times New Roman"/>
          <w:b/>
          <w:sz w:val="24"/>
          <w:szCs w:val="24"/>
          <w:lang w:val="en-GB"/>
        </w:rPr>
        <w:t xml:space="preserve"> seven days</w:t>
      </w:r>
      <w:r w:rsidRPr="00E405D9">
        <w:rPr>
          <w:rFonts w:ascii="Lato" w:hAnsi="Lato" w:cs="Times New Roman"/>
          <w:sz w:val="24"/>
          <w:szCs w:val="24"/>
          <w:lang w:val="en-GB"/>
        </w:rPr>
        <w:t xml:space="preserve"> before the planned date of application of the ICS2 R3 system. This rule does not apply to maritime carriers, who can start using the ICS2 system from 03.06.2024, at the earliest.</w:t>
      </w:r>
    </w:p>
    <w:p w14:paraId="196C0DC2" w14:textId="77777777" w:rsidR="00F205F1" w:rsidRPr="000F793C" w:rsidRDefault="00F205F1" w:rsidP="0077001B">
      <w:pPr>
        <w:pStyle w:val="Akapitzlist"/>
        <w:numPr>
          <w:ilvl w:val="0"/>
          <w:numId w:val="4"/>
        </w:numPr>
        <w:spacing w:before="240" w:after="240" w:line="259" w:lineRule="auto"/>
        <w:ind w:left="426" w:hanging="426"/>
        <w:contextualSpacing w:val="0"/>
        <w:jc w:val="both"/>
        <w:rPr>
          <w:rFonts w:ascii="Lato" w:hAnsi="Lato" w:cs="Times New Roman"/>
          <w:b/>
          <w:sz w:val="24"/>
          <w:szCs w:val="24"/>
          <w:lang w:val="en-GB"/>
        </w:rPr>
      </w:pPr>
      <w:r w:rsidRPr="000F793C">
        <w:rPr>
          <w:rFonts w:ascii="Lato" w:hAnsi="Lato" w:cs="Times New Roman"/>
          <w:b/>
          <w:sz w:val="24"/>
          <w:szCs w:val="24"/>
          <w:lang w:val="en-GB"/>
        </w:rPr>
        <w:t>Prerequisites for the start of ICS2 R3 use by economic operators and obligations of economic operators regarding the use of this system.</w:t>
      </w:r>
    </w:p>
    <w:p w14:paraId="61588698" w14:textId="77777777" w:rsidR="00F205F1" w:rsidRPr="00E405D9" w:rsidRDefault="00F205F1" w:rsidP="0077001B">
      <w:pPr>
        <w:pStyle w:val="Akapitzlist"/>
        <w:numPr>
          <w:ilvl w:val="0"/>
          <w:numId w:val="6"/>
        </w:numPr>
        <w:spacing w:before="240" w:after="240" w:line="259" w:lineRule="auto"/>
        <w:contextualSpacing w:val="0"/>
        <w:jc w:val="both"/>
        <w:rPr>
          <w:rFonts w:ascii="Lato" w:hAnsi="Lato" w:cs="Times New Roman"/>
          <w:sz w:val="24"/>
          <w:szCs w:val="24"/>
          <w:lang w:val="en-GB"/>
        </w:rPr>
      </w:pPr>
      <w:r w:rsidRPr="00E405D9">
        <w:rPr>
          <w:rFonts w:ascii="Lato" w:hAnsi="Lato" w:cs="Times New Roman"/>
          <w:sz w:val="24"/>
          <w:szCs w:val="24"/>
          <w:lang w:val="en-GB"/>
        </w:rPr>
        <w:t xml:space="preserve">economic operators will use the EU interface (interface developed by DG TAXUD) – Shared Trader Interface (STI) and Specific Trader Portal (STP) - for ENS </w:t>
      </w:r>
      <w:r w:rsidRPr="00E405D9">
        <w:rPr>
          <w:rFonts w:ascii="Lato" w:hAnsi="Lato" w:cs="Times New Roman"/>
          <w:sz w:val="24"/>
          <w:szCs w:val="24"/>
          <w:lang w:val="en-GB"/>
        </w:rPr>
        <w:lastRenderedPageBreak/>
        <w:t>and/or arrival notifications submissions. STI is used for direct, non-visual, integration with economic operator’s IT systems. STP is a portal that allows completing ENS in the form and/or load data from the template.</w:t>
      </w:r>
    </w:p>
    <w:p w14:paraId="1C305B20" w14:textId="77777777" w:rsidR="00F205F1" w:rsidRPr="00914540" w:rsidRDefault="00F205F1" w:rsidP="00F205F1">
      <w:pPr>
        <w:ind w:left="708"/>
        <w:jc w:val="both"/>
        <w:rPr>
          <w:rFonts w:ascii="Lato" w:hAnsi="Lato" w:cs="Times New Roman"/>
          <w:b/>
          <w:sz w:val="24"/>
          <w:szCs w:val="24"/>
          <w:lang w:val="en-GB"/>
        </w:rPr>
      </w:pPr>
      <w:r w:rsidRPr="00914540">
        <w:rPr>
          <w:rFonts w:ascii="Lato" w:hAnsi="Lato" w:cs="Times New Roman"/>
          <w:b/>
          <w:sz w:val="24"/>
          <w:szCs w:val="24"/>
          <w:lang w:val="en-GB"/>
        </w:rPr>
        <w:t xml:space="preserve">EXPLANATION: </w:t>
      </w:r>
    </w:p>
    <w:p w14:paraId="06248F4E" w14:textId="77777777" w:rsidR="00F205F1" w:rsidRPr="00E405D9" w:rsidRDefault="00F205F1" w:rsidP="0077001B">
      <w:pPr>
        <w:pStyle w:val="Akapitzlist"/>
        <w:numPr>
          <w:ilvl w:val="0"/>
          <w:numId w:val="10"/>
        </w:numPr>
        <w:spacing w:before="0" w:after="160" w:line="259" w:lineRule="auto"/>
        <w:jc w:val="both"/>
        <w:rPr>
          <w:rFonts w:ascii="Lato" w:hAnsi="Lato" w:cs="Times New Roman"/>
          <w:sz w:val="24"/>
          <w:szCs w:val="24"/>
          <w:lang w:val="en-GB"/>
        </w:rPr>
      </w:pPr>
      <w:r w:rsidRPr="00975DE3">
        <w:rPr>
          <w:rFonts w:ascii="Lato" w:hAnsi="Lato" w:cs="Times New Roman"/>
          <w:sz w:val="24"/>
          <w:szCs w:val="24"/>
          <w:u w:val="single"/>
          <w:lang w:val="en-GB"/>
        </w:rPr>
        <w:t>ENS</w:t>
      </w:r>
      <w:r w:rsidRPr="00E405D9">
        <w:rPr>
          <w:rFonts w:ascii="Lato" w:hAnsi="Lato" w:cs="Times New Roman"/>
          <w:sz w:val="24"/>
          <w:szCs w:val="24"/>
          <w:lang w:val="en-GB"/>
        </w:rPr>
        <w:t xml:space="preserve"> can only be submitted via the EU interface;</w:t>
      </w:r>
    </w:p>
    <w:p w14:paraId="439A4B0C" w14:textId="77777777" w:rsidR="00F205F1" w:rsidRPr="00E405D9" w:rsidRDefault="00F205F1" w:rsidP="0077001B">
      <w:pPr>
        <w:pStyle w:val="Akapitzlist"/>
        <w:numPr>
          <w:ilvl w:val="0"/>
          <w:numId w:val="10"/>
        </w:numPr>
        <w:spacing w:before="0" w:after="160" w:line="259" w:lineRule="auto"/>
        <w:jc w:val="both"/>
        <w:rPr>
          <w:rFonts w:ascii="Lato" w:hAnsi="Lato" w:cs="Times New Roman"/>
          <w:sz w:val="24"/>
          <w:szCs w:val="24"/>
          <w:lang w:val="en-GB"/>
        </w:rPr>
      </w:pPr>
      <w:r w:rsidRPr="00975DE3">
        <w:rPr>
          <w:rFonts w:ascii="Lato" w:hAnsi="Lato" w:cs="Times New Roman"/>
          <w:sz w:val="24"/>
          <w:szCs w:val="24"/>
          <w:u w:val="single"/>
          <w:lang w:val="en-GB"/>
        </w:rPr>
        <w:t>Arrival notifications</w:t>
      </w:r>
      <w:r w:rsidRPr="00E405D9">
        <w:rPr>
          <w:rFonts w:ascii="Lato" w:hAnsi="Lato" w:cs="Times New Roman"/>
          <w:sz w:val="24"/>
          <w:szCs w:val="24"/>
          <w:lang w:val="en-GB"/>
        </w:rPr>
        <w:t xml:space="preserve"> of a means of transport can be submitted both through the EU interface (STI</w:t>
      </w:r>
      <w:r>
        <w:rPr>
          <w:rFonts w:ascii="Lato" w:hAnsi="Lato" w:cs="Times New Roman"/>
          <w:sz w:val="24"/>
          <w:szCs w:val="24"/>
          <w:lang w:val="en-GB"/>
        </w:rPr>
        <w:t>) and the P</w:t>
      </w:r>
      <w:r w:rsidRPr="00E405D9">
        <w:rPr>
          <w:rFonts w:ascii="Lato" w:hAnsi="Lato" w:cs="Times New Roman"/>
          <w:sz w:val="24"/>
          <w:szCs w:val="24"/>
          <w:lang w:val="en-GB"/>
        </w:rPr>
        <w:t>olish</w:t>
      </w:r>
      <w:r>
        <w:rPr>
          <w:rFonts w:ascii="Lato" w:hAnsi="Lato" w:cs="Times New Roman"/>
          <w:sz w:val="24"/>
          <w:szCs w:val="24"/>
          <w:lang w:val="en-GB"/>
        </w:rPr>
        <w:t xml:space="preserve"> one (</w:t>
      </w:r>
      <w:r w:rsidRPr="00E405D9">
        <w:rPr>
          <w:rFonts w:ascii="Lato" w:hAnsi="Lato" w:cs="Times New Roman"/>
          <w:sz w:val="24"/>
          <w:szCs w:val="24"/>
          <w:lang w:val="en-GB"/>
        </w:rPr>
        <w:t>via the PUESC portal</w:t>
      </w:r>
      <w:r>
        <w:rPr>
          <w:rFonts w:ascii="Lato" w:hAnsi="Lato" w:cs="Times New Roman"/>
          <w:sz w:val="24"/>
          <w:szCs w:val="24"/>
          <w:lang w:val="en-GB"/>
        </w:rPr>
        <w:t>)</w:t>
      </w:r>
      <w:r w:rsidRPr="00E405D9">
        <w:rPr>
          <w:rFonts w:ascii="Lato" w:hAnsi="Lato" w:cs="Times New Roman"/>
          <w:sz w:val="24"/>
          <w:szCs w:val="24"/>
          <w:lang w:val="en-GB"/>
        </w:rPr>
        <w:t>. The economic operator decides through which interface he/she will submit arrival notifications;</w:t>
      </w:r>
    </w:p>
    <w:p w14:paraId="113DEF8B" w14:textId="77777777" w:rsidR="00F205F1" w:rsidRPr="00E405D9" w:rsidRDefault="00F205F1" w:rsidP="0077001B">
      <w:pPr>
        <w:pStyle w:val="Akapitzlist"/>
        <w:numPr>
          <w:ilvl w:val="0"/>
          <w:numId w:val="6"/>
        </w:numPr>
        <w:spacing w:before="0" w:after="160" w:line="259" w:lineRule="auto"/>
        <w:contextualSpacing w:val="0"/>
        <w:jc w:val="both"/>
        <w:rPr>
          <w:rFonts w:ascii="Lato" w:hAnsi="Lato" w:cs="Times New Roman"/>
          <w:sz w:val="24"/>
          <w:szCs w:val="24"/>
          <w:lang w:val="en-GB"/>
        </w:rPr>
      </w:pPr>
      <w:r w:rsidRPr="00E405D9">
        <w:rPr>
          <w:rFonts w:ascii="Lato" w:hAnsi="Lato" w:cs="Times New Roman"/>
          <w:sz w:val="24"/>
          <w:szCs w:val="24"/>
          <w:lang w:val="en-GB"/>
        </w:rPr>
        <w:t>economic operators will use the PUESC portal (Polish interface) to submit arrival (if economic operator decides to do so) and presentation notifications.</w:t>
      </w:r>
    </w:p>
    <w:p w14:paraId="101B555B" w14:textId="77777777" w:rsidR="00F205F1" w:rsidRDefault="00F205F1" w:rsidP="00F205F1">
      <w:pPr>
        <w:pStyle w:val="Akapitzlist"/>
        <w:contextualSpacing w:val="0"/>
        <w:jc w:val="both"/>
        <w:rPr>
          <w:rFonts w:ascii="Lato" w:hAnsi="Lato" w:cs="Times New Roman"/>
          <w:sz w:val="24"/>
          <w:szCs w:val="24"/>
          <w:lang w:val="en-GB"/>
        </w:rPr>
      </w:pPr>
      <w:r w:rsidRPr="00914540">
        <w:rPr>
          <w:rFonts w:ascii="Lato" w:hAnsi="Lato" w:cs="Times New Roman"/>
          <w:b/>
          <w:sz w:val="24"/>
          <w:szCs w:val="24"/>
          <w:lang w:val="en-GB"/>
        </w:rPr>
        <w:t>EXPLANATION:</w:t>
      </w:r>
      <w:r w:rsidRPr="00E405D9">
        <w:rPr>
          <w:rFonts w:ascii="Lato" w:hAnsi="Lato" w:cs="Times New Roman"/>
          <w:sz w:val="24"/>
          <w:szCs w:val="24"/>
          <w:lang w:val="en-GB"/>
        </w:rPr>
        <w:t xml:space="preserve"> </w:t>
      </w:r>
    </w:p>
    <w:p w14:paraId="03A63DD5" w14:textId="77777777" w:rsidR="00F205F1" w:rsidRPr="00E405D9" w:rsidRDefault="00F205F1" w:rsidP="00F205F1">
      <w:pPr>
        <w:pStyle w:val="Akapitzlist"/>
        <w:contextualSpacing w:val="0"/>
        <w:jc w:val="both"/>
        <w:rPr>
          <w:rFonts w:ascii="Lato" w:hAnsi="Lato" w:cs="Times New Roman"/>
          <w:sz w:val="24"/>
          <w:szCs w:val="24"/>
          <w:lang w:val="en-GB"/>
        </w:rPr>
      </w:pPr>
      <w:r w:rsidRPr="00E405D9">
        <w:rPr>
          <w:rFonts w:ascii="Lato" w:hAnsi="Lato" w:cs="Times New Roman"/>
          <w:sz w:val="24"/>
          <w:szCs w:val="24"/>
          <w:lang w:val="en-GB"/>
        </w:rPr>
        <w:t>Notification of the presentation of goods for inspection to customs authorities is submitted in Poland to the AIS/ICS2 system only via the national interface (via the puesc.gov.pl portal);</w:t>
      </w:r>
    </w:p>
    <w:p w14:paraId="1B9EC995" w14:textId="77777777" w:rsidR="00F205F1" w:rsidRPr="00E405D9" w:rsidRDefault="00F205F1" w:rsidP="0077001B">
      <w:pPr>
        <w:pStyle w:val="Akapitzlist"/>
        <w:numPr>
          <w:ilvl w:val="0"/>
          <w:numId w:val="6"/>
        </w:numPr>
        <w:spacing w:before="0" w:after="160" w:line="259" w:lineRule="auto"/>
        <w:contextualSpacing w:val="0"/>
        <w:jc w:val="both"/>
        <w:rPr>
          <w:rFonts w:ascii="Lato" w:hAnsi="Lato" w:cs="Times New Roman"/>
          <w:sz w:val="24"/>
          <w:szCs w:val="24"/>
          <w:lang w:val="en-GB"/>
        </w:rPr>
      </w:pPr>
      <w:r w:rsidRPr="00E405D9">
        <w:rPr>
          <w:rFonts w:ascii="Lato" w:hAnsi="Lato" w:cs="Times New Roman"/>
          <w:sz w:val="24"/>
          <w:szCs w:val="24"/>
          <w:lang w:val="en-GB"/>
        </w:rPr>
        <w:t>economic operator’s IT system should be compliant with the ICS2 R3 functional and technical specification, which should be confirmed by successfully completed self-compliance tests carried out by the entity, or</w:t>
      </w:r>
    </w:p>
    <w:p w14:paraId="35A80B42" w14:textId="77777777" w:rsidR="00F205F1" w:rsidRPr="00E405D9" w:rsidRDefault="00F205F1" w:rsidP="0077001B">
      <w:pPr>
        <w:pStyle w:val="Akapitzlist"/>
        <w:numPr>
          <w:ilvl w:val="0"/>
          <w:numId w:val="6"/>
        </w:numPr>
        <w:spacing w:before="0" w:after="160" w:line="259" w:lineRule="auto"/>
        <w:contextualSpacing w:val="0"/>
        <w:jc w:val="both"/>
        <w:rPr>
          <w:rFonts w:ascii="Lato" w:hAnsi="Lato" w:cs="Times New Roman"/>
          <w:sz w:val="24"/>
          <w:szCs w:val="24"/>
          <w:lang w:val="en-GB"/>
        </w:rPr>
      </w:pPr>
      <w:r w:rsidRPr="00E405D9">
        <w:rPr>
          <w:rFonts w:ascii="Lato" w:hAnsi="Lato" w:cs="Times New Roman"/>
          <w:sz w:val="24"/>
          <w:szCs w:val="24"/>
          <w:lang w:val="en-GB"/>
        </w:rPr>
        <w:t>if ENS are sent, on behalf of the economic operator, by the IT Service Provider (ITSP), the ITSP system should be compliant with the ICS2 R3 functional and technical specifications, which should be confirmed by successfully completed self-tests completed by the ITSP or</w:t>
      </w:r>
    </w:p>
    <w:p w14:paraId="0AC4AA50" w14:textId="77777777" w:rsidR="00F205F1" w:rsidRPr="00E405D9" w:rsidRDefault="00F205F1" w:rsidP="0077001B">
      <w:pPr>
        <w:pStyle w:val="Akapitzlist"/>
        <w:numPr>
          <w:ilvl w:val="0"/>
          <w:numId w:val="6"/>
        </w:numPr>
        <w:spacing w:before="0" w:after="160" w:line="259" w:lineRule="auto"/>
        <w:contextualSpacing w:val="0"/>
        <w:jc w:val="both"/>
        <w:rPr>
          <w:rFonts w:ascii="Lato" w:hAnsi="Lato" w:cs="Times New Roman"/>
          <w:sz w:val="24"/>
          <w:szCs w:val="24"/>
          <w:lang w:val="en-GB"/>
        </w:rPr>
      </w:pPr>
      <w:r w:rsidRPr="00E405D9">
        <w:rPr>
          <w:rFonts w:ascii="Lato" w:hAnsi="Lato" w:cs="Times New Roman"/>
          <w:sz w:val="24"/>
          <w:szCs w:val="24"/>
          <w:lang w:val="en-GB"/>
        </w:rPr>
        <w:t>successful completion of self-compliance tests (conducted by business entities or ITSP regarding potential roles and messages sent) should be confirmed by the DC MF.</w:t>
      </w:r>
    </w:p>
    <w:p w14:paraId="35C66F8B" w14:textId="77777777" w:rsidR="00F205F1" w:rsidRPr="00914540" w:rsidRDefault="00F205F1" w:rsidP="0077001B">
      <w:pPr>
        <w:pStyle w:val="Akapitzlist"/>
        <w:numPr>
          <w:ilvl w:val="0"/>
          <w:numId w:val="4"/>
        </w:numPr>
        <w:spacing w:before="240" w:after="160" w:line="259" w:lineRule="auto"/>
        <w:ind w:left="425" w:hanging="425"/>
        <w:contextualSpacing w:val="0"/>
        <w:jc w:val="both"/>
        <w:rPr>
          <w:rFonts w:ascii="Lato" w:hAnsi="Lato" w:cs="Times New Roman"/>
          <w:b/>
          <w:sz w:val="24"/>
          <w:szCs w:val="24"/>
          <w:lang w:val="en-GB"/>
        </w:rPr>
      </w:pPr>
      <w:r>
        <w:rPr>
          <w:rFonts w:ascii="Lato" w:hAnsi="Lato" w:cs="Times New Roman"/>
          <w:b/>
          <w:sz w:val="24"/>
          <w:szCs w:val="24"/>
          <w:lang w:val="en-GB"/>
        </w:rPr>
        <w:t>EU and Polish d</w:t>
      </w:r>
      <w:r w:rsidRPr="00914540">
        <w:rPr>
          <w:rFonts w:ascii="Lato" w:hAnsi="Lato" w:cs="Times New Roman"/>
          <w:b/>
          <w:sz w:val="24"/>
          <w:szCs w:val="24"/>
          <w:lang w:val="en-GB"/>
        </w:rPr>
        <w:t xml:space="preserve">ocumentation for the </w:t>
      </w:r>
      <w:r>
        <w:rPr>
          <w:rFonts w:ascii="Lato" w:hAnsi="Lato" w:cs="Times New Roman"/>
          <w:b/>
          <w:sz w:val="24"/>
          <w:szCs w:val="24"/>
          <w:lang w:val="en-GB"/>
        </w:rPr>
        <w:t>ICS2 and</w:t>
      </w:r>
      <w:r w:rsidRPr="00914540">
        <w:rPr>
          <w:rFonts w:ascii="Lato" w:hAnsi="Lato" w:cs="Times New Roman"/>
          <w:b/>
          <w:sz w:val="24"/>
          <w:szCs w:val="24"/>
          <w:lang w:val="en-GB"/>
        </w:rPr>
        <w:t xml:space="preserve"> AIS/ICS2.</w:t>
      </w:r>
    </w:p>
    <w:p w14:paraId="18B1EEFB" w14:textId="77777777" w:rsidR="00F205F1" w:rsidRPr="00E405D9" w:rsidRDefault="00F205F1" w:rsidP="0077001B">
      <w:pPr>
        <w:pStyle w:val="Akapitzlist"/>
        <w:numPr>
          <w:ilvl w:val="0"/>
          <w:numId w:val="7"/>
        </w:numPr>
        <w:spacing w:before="240" w:after="240" w:line="259" w:lineRule="auto"/>
        <w:ind w:left="714" w:hanging="357"/>
        <w:contextualSpacing w:val="0"/>
        <w:jc w:val="both"/>
        <w:rPr>
          <w:rFonts w:ascii="Lato" w:hAnsi="Lato" w:cs="Times New Roman"/>
          <w:sz w:val="24"/>
          <w:szCs w:val="24"/>
          <w:lang w:val="en-GB"/>
        </w:rPr>
      </w:pPr>
      <w:r w:rsidRPr="00E405D9">
        <w:rPr>
          <w:rFonts w:ascii="Lato" w:hAnsi="Lato" w:cs="Times New Roman"/>
          <w:sz w:val="24"/>
          <w:szCs w:val="24"/>
          <w:lang w:val="en-GB"/>
        </w:rPr>
        <w:t xml:space="preserve">ICS2 documentation prepared by the European Commission is available here: </w:t>
      </w:r>
      <w:hyperlink r:id="rId9" w:history="1">
        <w:r w:rsidRPr="00E405D9">
          <w:rPr>
            <w:rStyle w:val="Hipercze"/>
            <w:rFonts w:ascii="Lato" w:hAnsi="Lato" w:cs="Times New Roman"/>
            <w:sz w:val="24"/>
            <w:szCs w:val="24"/>
            <w:lang w:val="en-GB"/>
          </w:rPr>
          <w:t>https://circabc.europa.eu/ui/group/617eb8f3-5946-4fe5-a01f-42974a83b29c/library/56f96b30-cfbf-4d8c-b1f9-ccd63de7f63b</w:t>
        </w:r>
      </w:hyperlink>
      <w:r w:rsidRPr="00E405D9">
        <w:rPr>
          <w:rFonts w:ascii="Lato" w:hAnsi="Lato" w:cs="Times New Roman"/>
          <w:sz w:val="24"/>
          <w:szCs w:val="24"/>
          <w:lang w:val="en-GB"/>
        </w:rPr>
        <w:t xml:space="preserve"> </w:t>
      </w:r>
    </w:p>
    <w:p w14:paraId="7D29D198" w14:textId="77777777" w:rsidR="00F205F1" w:rsidRPr="00E405D9" w:rsidRDefault="00F205F1" w:rsidP="00F205F1">
      <w:pPr>
        <w:ind w:firstLine="708"/>
        <w:jc w:val="both"/>
        <w:rPr>
          <w:rFonts w:ascii="Lato" w:hAnsi="Lato" w:cs="Times New Roman"/>
          <w:sz w:val="24"/>
          <w:szCs w:val="24"/>
          <w:lang w:val="en-GB"/>
        </w:rPr>
      </w:pPr>
      <w:r w:rsidRPr="00E405D9">
        <w:rPr>
          <w:rFonts w:ascii="Lato" w:hAnsi="Lato" w:cs="Times New Roman"/>
          <w:sz w:val="24"/>
          <w:szCs w:val="24"/>
          <w:lang w:val="en-GB"/>
        </w:rPr>
        <w:t>This documentation includes, in particular</w:t>
      </w:r>
      <w:r>
        <w:rPr>
          <w:rFonts w:ascii="Lato" w:hAnsi="Lato" w:cs="Times New Roman"/>
          <w:sz w:val="24"/>
          <w:szCs w:val="24"/>
          <w:lang w:val="en-GB"/>
        </w:rPr>
        <w:t xml:space="preserve"> the following</w:t>
      </w:r>
      <w:r w:rsidRPr="00E405D9">
        <w:rPr>
          <w:rFonts w:ascii="Lato" w:hAnsi="Lato" w:cs="Times New Roman"/>
          <w:sz w:val="24"/>
          <w:szCs w:val="24"/>
          <w:lang w:val="en-GB"/>
        </w:rPr>
        <w:t>:</w:t>
      </w:r>
    </w:p>
    <w:p w14:paraId="485AC02F" w14:textId="77777777" w:rsidR="00F205F1" w:rsidRPr="00E405D9" w:rsidRDefault="00F205F1" w:rsidP="0077001B">
      <w:pPr>
        <w:pStyle w:val="Akapitzlist"/>
        <w:numPr>
          <w:ilvl w:val="0"/>
          <w:numId w:val="8"/>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ICS2 functional and technical specifications;</w:t>
      </w:r>
    </w:p>
    <w:p w14:paraId="5C8BB09A" w14:textId="77777777" w:rsidR="00F205F1" w:rsidRPr="00E405D9" w:rsidRDefault="00F205F1" w:rsidP="0077001B">
      <w:pPr>
        <w:pStyle w:val="Akapitzlist"/>
        <w:numPr>
          <w:ilvl w:val="0"/>
          <w:numId w:val="8"/>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Documentation regarding ICS2 self-compliance tests of economic operators and</w:t>
      </w:r>
    </w:p>
    <w:p w14:paraId="7602E280" w14:textId="77777777" w:rsidR="00F205F1" w:rsidRPr="00E405D9" w:rsidRDefault="00F205F1" w:rsidP="0077001B">
      <w:pPr>
        <w:pStyle w:val="Akapitzlist"/>
        <w:numPr>
          <w:ilvl w:val="0"/>
          <w:numId w:val="8"/>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“ICS2 Go Live Procedure EO ICS2” document.</w:t>
      </w:r>
    </w:p>
    <w:p w14:paraId="67B8518B" w14:textId="77777777" w:rsidR="00F205F1" w:rsidRPr="00E405D9" w:rsidRDefault="00F205F1" w:rsidP="00F205F1">
      <w:pPr>
        <w:ind w:left="709"/>
        <w:jc w:val="both"/>
        <w:rPr>
          <w:rFonts w:ascii="Lato" w:hAnsi="Lato" w:cs="Times New Roman"/>
          <w:sz w:val="24"/>
          <w:szCs w:val="24"/>
          <w:lang w:val="en-GB"/>
        </w:rPr>
      </w:pPr>
      <w:r w:rsidRPr="00E405D9">
        <w:rPr>
          <w:rFonts w:ascii="Lato" w:hAnsi="Lato" w:cs="Times New Roman"/>
          <w:sz w:val="24"/>
          <w:szCs w:val="24"/>
          <w:lang w:val="en-GB"/>
        </w:rPr>
        <w:lastRenderedPageBreak/>
        <w:t>The European Commission also aims publishing the following documents in the above mentioned folder in the near future:</w:t>
      </w:r>
    </w:p>
    <w:p w14:paraId="251D23E1" w14:textId="77777777" w:rsidR="00F205F1" w:rsidRPr="00E405D9" w:rsidRDefault="00F205F1" w:rsidP="0077001B">
      <w:pPr>
        <w:pStyle w:val="Akapitzlist"/>
        <w:numPr>
          <w:ilvl w:val="0"/>
          <w:numId w:val="9"/>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“EO Business Continuity Plan” document for the ICS2 R3;</w:t>
      </w:r>
    </w:p>
    <w:p w14:paraId="69F6352B" w14:textId="77777777" w:rsidR="00F205F1" w:rsidRPr="00E405D9" w:rsidRDefault="00F205F1" w:rsidP="0077001B">
      <w:pPr>
        <w:pStyle w:val="Akapitzlist"/>
        <w:numPr>
          <w:ilvl w:val="0"/>
          <w:numId w:val="9"/>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"Express consignments in road transport” Guidelines;</w:t>
      </w:r>
    </w:p>
    <w:p w14:paraId="2562A8EF" w14:textId="77777777" w:rsidR="00F205F1" w:rsidRPr="00E405D9" w:rsidRDefault="00F205F1" w:rsidP="0077001B">
      <w:pPr>
        <w:pStyle w:val="Akapitzlist"/>
        <w:numPr>
          <w:ilvl w:val="0"/>
          <w:numId w:val="9"/>
        </w:numPr>
        <w:spacing w:before="0" w:after="160" w:line="259" w:lineRule="auto"/>
        <w:ind w:left="1276" w:hanging="283"/>
        <w:jc w:val="both"/>
        <w:rPr>
          <w:rFonts w:ascii="Lato" w:hAnsi="Lato" w:cs="Times New Roman"/>
          <w:sz w:val="24"/>
          <w:szCs w:val="24"/>
          <w:lang w:val="en-GB"/>
        </w:rPr>
      </w:pPr>
      <w:r w:rsidRPr="00E405D9">
        <w:rPr>
          <w:rFonts w:ascii="Lato" w:hAnsi="Lato" w:cs="Times New Roman"/>
          <w:sz w:val="24"/>
          <w:szCs w:val="24"/>
          <w:lang w:val="en-GB"/>
        </w:rPr>
        <w:t>"Maritime and inland transport" Guidelines.</w:t>
      </w:r>
    </w:p>
    <w:p w14:paraId="54F7AB65" w14:textId="77777777" w:rsidR="00F205F1" w:rsidRPr="00E405D9" w:rsidRDefault="00F205F1" w:rsidP="0077001B">
      <w:pPr>
        <w:pStyle w:val="Akapitzlist"/>
        <w:numPr>
          <w:ilvl w:val="0"/>
          <w:numId w:val="7"/>
        </w:numPr>
        <w:spacing w:before="240" w:after="160" w:line="259" w:lineRule="auto"/>
        <w:ind w:left="714" w:hanging="357"/>
        <w:contextualSpacing w:val="0"/>
        <w:jc w:val="both"/>
        <w:rPr>
          <w:rFonts w:ascii="Lato" w:hAnsi="Lato" w:cs="Times New Roman"/>
          <w:sz w:val="24"/>
          <w:szCs w:val="24"/>
          <w:lang w:val="en-GB"/>
        </w:rPr>
      </w:pPr>
      <w:r w:rsidRPr="00E405D9">
        <w:rPr>
          <w:rFonts w:ascii="Lato" w:hAnsi="Lato" w:cs="Times New Roman"/>
          <w:sz w:val="24"/>
          <w:szCs w:val="24"/>
          <w:lang w:val="en-GB"/>
        </w:rPr>
        <w:t>Documentation prepared by the Polish National Tax Administration is available here:</w:t>
      </w:r>
    </w:p>
    <w:p w14:paraId="3C7721FA" w14:textId="7749EA71" w:rsidR="00F205F1" w:rsidRPr="00E405D9" w:rsidRDefault="00AC6E54" w:rsidP="00F205F1">
      <w:pPr>
        <w:jc w:val="both"/>
        <w:rPr>
          <w:rFonts w:ascii="Lato" w:hAnsi="Lato" w:cs="Times New Roman"/>
          <w:sz w:val="24"/>
          <w:szCs w:val="24"/>
          <w:lang w:val="en-GB"/>
        </w:rPr>
      </w:pPr>
      <w:hyperlink r:id="rId10" w:history="1">
        <w:r w:rsidR="00780423" w:rsidRPr="00E10F84">
          <w:rPr>
            <w:rStyle w:val="Hipercze"/>
            <w:rFonts w:ascii="Lato" w:hAnsi="Lato" w:cs="Times New Roman"/>
            <w:sz w:val="24"/>
            <w:szCs w:val="24"/>
            <w:lang w:val="en-GB"/>
          </w:rPr>
          <w:t>https://puesc.gov.pl/uslugi/uslugi-sieciowe-informacje-i-specyfikacje/system-ais</w:t>
        </w:r>
      </w:hyperlink>
      <w:r w:rsidR="00F205F1" w:rsidRPr="00E405D9">
        <w:rPr>
          <w:rFonts w:ascii="Lato" w:hAnsi="Lato" w:cs="Times New Roman"/>
          <w:sz w:val="24"/>
          <w:szCs w:val="24"/>
          <w:lang w:val="en-GB"/>
        </w:rPr>
        <w:t xml:space="preserve">, </w:t>
      </w:r>
      <w:r w:rsidR="00780423">
        <w:rPr>
          <w:rFonts w:ascii="Lato" w:hAnsi="Lato" w:cs="Times New Roman"/>
          <w:sz w:val="24"/>
          <w:szCs w:val="24"/>
          <w:lang w:val="en-GB"/>
        </w:rPr>
        <w:t xml:space="preserve"> </w:t>
      </w:r>
      <w:r w:rsidR="00F205F1" w:rsidRPr="00E405D9">
        <w:rPr>
          <w:rFonts w:ascii="Lato" w:hAnsi="Lato" w:cs="Times New Roman"/>
          <w:sz w:val="24"/>
          <w:szCs w:val="24"/>
          <w:lang w:val="en-GB"/>
        </w:rPr>
        <w:t>including</w:t>
      </w:r>
      <w:r w:rsidR="0006082B">
        <w:rPr>
          <w:rFonts w:ascii="Lato" w:hAnsi="Lato" w:cs="Times New Roman"/>
          <w:sz w:val="24"/>
          <w:szCs w:val="24"/>
          <w:lang w:val="en-GB"/>
        </w:rPr>
        <w:t>,</w:t>
      </w:r>
      <w:r w:rsidR="00F205F1" w:rsidRPr="00E405D9">
        <w:rPr>
          <w:rFonts w:ascii="Lato" w:hAnsi="Lato" w:cs="Times New Roman"/>
          <w:sz w:val="24"/>
          <w:szCs w:val="24"/>
          <w:lang w:val="en-GB"/>
        </w:rPr>
        <w:t xml:space="preserve"> guidelines and other documentation are in the "</w:t>
      </w:r>
      <w:r w:rsidR="0006082B" w:rsidRPr="0006082B">
        <w:rPr>
          <w:lang w:val="en-GB"/>
        </w:rPr>
        <w:t xml:space="preserve"> </w:t>
      </w:r>
      <w:r w:rsidR="0006082B" w:rsidRPr="0006082B">
        <w:rPr>
          <w:rFonts w:ascii="Lato" w:hAnsi="Lato" w:cs="Times New Roman"/>
          <w:sz w:val="24"/>
          <w:szCs w:val="24"/>
          <w:lang w:val="en-GB"/>
        </w:rPr>
        <w:t>„</w:t>
      </w:r>
      <w:proofErr w:type="spellStart"/>
      <w:r w:rsidR="0006082B" w:rsidRPr="0006082B">
        <w:rPr>
          <w:rFonts w:ascii="Lato" w:hAnsi="Lato" w:cs="Times New Roman"/>
          <w:sz w:val="24"/>
          <w:szCs w:val="24"/>
          <w:lang w:val="en-GB"/>
        </w:rPr>
        <w:t>Materiały</w:t>
      </w:r>
      <w:proofErr w:type="spellEnd"/>
      <w:r w:rsidR="0006082B" w:rsidRPr="0006082B">
        <w:rPr>
          <w:rFonts w:ascii="Lato" w:hAnsi="Lato" w:cs="Times New Roman"/>
          <w:sz w:val="24"/>
          <w:szCs w:val="24"/>
          <w:lang w:val="en-GB"/>
        </w:rPr>
        <w:t xml:space="preserve"> </w:t>
      </w:r>
      <w:proofErr w:type="spellStart"/>
      <w:r w:rsidR="0006082B" w:rsidRPr="0006082B">
        <w:rPr>
          <w:rFonts w:ascii="Lato" w:hAnsi="Lato" w:cs="Times New Roman"/>
          <w:sz w:val="24"/>
          <w:szCs w:val="24"/>
          <w:lang w:val="en-GB"/>
        </w:rPr>
        <w:t>informacyjne</w:t>
      </w:r>
      <w:proofErr w:type="spellEnd"/>
      <w:r w:rsidR="0006082B" w:rsidRPr="0006082B">
        <w:rPr>
          <w:rFonts w:ascii="Lato" w:hAnsi="Lato" w:cs="Times New Roman"/>
          <w:sz w:val="24"/>
          <w:szCs w:val="24"/>
          <w:lang w:val="en-GB"/>
        </w:rPr>
        <w:t xml:space="preserve"> AIS – AIS/ICS2”</w:t>
      </w:r>
      <w:r w:rsidR="00F205F1" w:rsidRPr="00E405D9">
        <w:rPr>
          <w:rFonts w:ascii="Lato" w:hAnsi="Lato" w:cs="Times New Roman"/>
          <w:sz w:val="24"/>
          <w:szCs w:val="24"/>
          <w:lang w:val="en-GB"/>
        </w:rPr>
        <w:t>" section.</w:t>
      </w:r>
    </w:p>
    <w:p w14:paraId="415F36F5" w14:textId="77777777" w:rsidR="00F205F1" w:rsidRPr="008E6DEC" w:rsidRDefault="00F205F1" w:rsidP="0077001B">
      <w:pPr>
        <w:pStyle w:val="Akapitzlist"/>
        <w:numPr>
          <w:ilvl w:val="0"/>
          <w:numId w:val="4"/>
        </w:numPr>
        <w:spacing w:before="0" w:after="160" w:line="259" w:lineRule="auto"/>
        <w:ind w:left="426" w:hanging="426"/>
        <w:jc w:val="both"/>
        <w:rPr>
          <w:rFonts w:ascii="Lato" w:hAnsi="Lato" w:cs="Times New Roman"/>
          <w:b/>
          <w:sz w:val="24"/>
          <w:szCs w:val="24"/>
          <w:lang w:val="en-GB"/>
        </w:rPr>
      </w:pPr>
      <w:r w:rsidRPr="008E6DEC">
        <w:rPr>
          <w:rFonts w:ascii="Lato" w:hAnsi="Lato" w:cs="Times New Roman"/>
          <w:b/>
          <w:sz w:val="24"/>
          <w:szCs w:val="24"/>
          <w:lang w:val="en-GB"/>
        </w:rPr>
        <w:t>Self-conformance and End-to-End (E2E) tests conducted by economic operators.</w:t>
      </w:r>
    </w:p>
    <w:p w14:paraId="7CCC2540" w14:textId="77777777" w:rsidR="00F205F1" w:rsidRPr="00E405D9" w:rsidRDefault="00F205F1" w:rsidP="00F205F1">
      <w:pPr>
        <w:jc w:val="both"/>
        <w:rPr>
          <w:rFonts w:ascii="Lato" w:hAnsi="Lato" w:cs="Times New Roman"/>
          <w:sz w:val="24"/>
          <w:szCs w:val="24"/>
          <w:lang w:val="en-GB"/>
        </w:rPr>
      </w:pPr>
      <w:r w:rsidRPr="00E405D9">
        <w:rPr>
          <w:rFonts w:ascii="Lato" w:hAnsi="Lato" w:cs="Times New Roman"/>
          <w:sz w:val="24"/>
          <w:szCs w:val="24"/>
          <w:lang w:val="en-GB"/>
        </w:rPr>
        <w:t>Taking into account the information included in this announcement, the DC MF kindly asks economic operators registered in Poland to send information on the dates within which these economic operators</w:t>
      </w:r>
      <w:r>
        <w:rPr>
          <w:rFonts w:ascii="Lato" w:hAnsi="Lato" w:cs="Times New Roman"/>
          <w:sz w:val="24"/>
          <w:szCs w:val="24"/>
          <w:lang w:val="en-GB"/>
        </w:rPr>
        <w:t xml:space="preserve"> </w:t>
      </w:r>
      <w:r w:rsidRPr="00E405D9">
        <w:rPr>
          <w:rFonts w:ascii="Lato" w:hAnsi="Lato" w:cs="Times New Roman"/>
          <w:sz w:val="24"/>
          <w:szCs w:val="24"/>
          <w:lang w:val="en-GB"/>
        </w:rPr>
        <w:t>intend to conduct self-conformance tests and E2E tests regarding the implementation of theICS2 R3 functionalities. If ENS data are to be sent to the STI via an ITSP, DC MF kindly requests that such information be sent, indicating the ITSP name and the dates during which the ITSP will conduct self-conformance/E2E tests. The information sent should also indicate the type(s) of transport, which ENS submissions will concern</w:t>
      </w:r>
      <w:r>
        <w:rPr>
          <w:rFonts w:ascii="Lato" w:hAnsi="Lato" w:cs="Times New Roman"/>
          <w:sz w:val="24"/>
          <w:szCs w:val="24"/>
          <w:lang w:val="en-GB"/>
        </w:rPr>
        <w:t xml:space="preserve"> for</w:t>
      </w:r>
      <w:r w:rsidRPr="00E405D9">
        <w:rPr>
          <w:rFonts w:ascii="Lato" w:hAnsi="Lato" w:cs="Times New Roman"/>
          <w:sz w:val="24"/>
          <w:szCs w:val="24"/>
          <w:lang w:val="en-GB"/>
        </w:rPr>
        <w:t>.</w:t>
      </w:r>
    </w:p>
    <w:p w14:paraId="3EBDF6B2" w14:textId="77777777" w:rsidR="00F205F1" w:rsidRPr="00680490" w:rsidRDefault="00F205F1" w:rsidP="00F205F1">
      <w:pPr>
        <w:jc w:val="both"/>
        <w:rPr>
          <w:rStyle w:val="Hipercze"/>
          <w:sz w:val="24"/>
          <w:szCs w:val="24"/>
          <w:lang w:val="en-GB"/>
        </w:rPr>
      </w:pPr>
      <w:r w:rsidRPr="00E405D9">
        <w:rPr>
          <w:rFonts w:ascii="Lato" w:hAnsi="Lato" w:cs="Times New Roman"/>
          <w:sz w:val="24"/>
          <w:szCs w:val="24"/>
          <w:lang w:val="en-GB"/>
        </w:rPr>
        <w:t xml:space="preserve">Please send this information to the following e-mail address: </w:t>
      </w:r>
      <w:hyperlink r:id="rId11" w:history="1">
        <w:r w:rsidRPr="008E6DEC">
          <w:rPr>
            <w:rStyle w:val="Hipercze"/>
            <w:sz w:val="24"/>
            <w:szCs w:val="24"/>
            <w:lang w:val="en-GB"/>
          </w:rPr>
          <w:t>kontakt.ICS2@mf.gov.pl</w:t>
        </w:r>
      </w:hyperlink>
    </w:p>
    <w:p w14:paraId="18ADDA9E" w14:textId="538BF523" w:rsidR="00F205F1" w:rsidRDefault="00F205F1" w:rsidP="00F205F1">
      <w:pPr>
        <w:jc w:val="both"/>
        <w:rPr>
          <w:rFonts w:ascii="Lato" w:hAnsi="Lato" w:cs="Times New Roman"/>
          <w:sz w:val="24"/>
          <w:szCs w:val="24"/>
          <w:lang w:val="en-GB"/>
        </w:rPr>
      </w:pPr>
      <w:r w:rsidRPr="00E405D9">
        <w:rPr>
          <w:rFonts w:ascii="Lato" w:hAnsi="Lato" w:cs="Times New Roman"/>
          <w:sz w:val="24"/>
          <w:szCs w:val="24"/>
          <w:lang w:val="en-GB"/>
        </w:rPr>
        <w:t>The content of this message is also available in Polish</w:t>
      </w:r>
      <w:r w:rsidR="000A0F1D">
        <w:rPr>
          <w:rFonts w:ascii="Lato" w:hAnsi="Lato" w:cs="Times New Roman"/>
          <w:sz w:val="24"/>
          <w:szCs w:val="24"/>
          <w:lang w:val="en-GB"/>
        </w:rPr>
        <w:t>.</w:t>
      </w:r>
    </w:p>
    <w:p w14:paraId="206CDBDE" w14:textId="77777777" w:rsidR="00AC6E54" w:rsidRDefault="00AC6E54" w:rsidP="000C1056">
      <w:pPr>
        <w:spacing w:line="264" w:lineRule="auto"/>
        <w:rPr>
          <w:b/>
          <w:lang w:val="en"/>
        </w:rPr>
      </w:pPr>
    </w:p>
    <w:p w14:paraId="087EDF7D" w14:textId="77777777" w:rsidR="00AC6E54" w:rsidRDefault="00AC6E54" w:rsidP="000C1056">
      <w:pPr>
        <w:spacing w:line="264" w:lineRule="auto"/>
        <w:rPr>
          <w:b/>
          <w:lang w:val="en"/>
        </w:rPr>
      </w:pPr>
    </w:p>
    <w:p w14:paraId="590DED8A" w14:textId="77777777" w:rsidR="00AC6E54" w:rsidRDefault="00AC6E54" w:rsidP="000C1056">
      <w:pPr>
        <w:spacing w:line="264" w:lineRule="auto"/>
        <w:rPr>
          <w:b/>
          <w:lang w:val="en"/>
        </w:rPr>
      </w:pPr>
    </w:p>
    <w:p w14:paraId="4753D4D3" w14:textId="06507E67" w:rsidR="000C1056" w:rsidRPr="000C1056" w:rsidRDefault="000C1056" w:rsidP="000C1056">
      <w:pPr>
        <w:spacing w:line="264" w:lineRule="auto"/>
        <w:rPr>
          <w:b/>
          <w:lang w:val="en-US"/>
        </w:rPr>
      </w:pPr>
      <w:r w:rsidRPr="000C1056">
        <w:rPr>
          <w:b/>
          <w:lang w:val="en"/>
        </w:rPr>
        <w:t>Publication information</w:t>
      </w:r>
    </w:p>
    <w:p w14:paraId="1B1E4936" w14:textId="0F7127CA" w:rsidR="000C1056" w:rsidRPr="000C1056" w:rsidRDefault="000C1056" w:rsidP="000C1056">
      <w:pPr>
        <w:spacing w:line="264" w:lineRule="auto"/>
        <w:rPr>
          <w:lang w:val="en-US" w:eastAsia="pl-PL"/>
        </w:rPr>
      </w:pPr>
      <w:r w:rsidRPr="000C1056">
        <w:rPr>
          <w:lang w:val="en" w:eastAsia="pl-PL"/>
        </w:rPr>
        <w:t>Date of publication</w:t>
      </w:r>
      <w:r w:rsidRPr="000C1056">
        <w:rPr>
          <w:lang w:val="en-US" w:eastAsia="pl-PL"/>
        </w:rPr>
        <w:t xml:space="preserve">: </w:t>
      </w:r>
      <w:r w:rsidR="00AC6E54">
        <w:rPr>
          <w:b/>
          <w:bCs/>
          <w:lang w:val="en-US" w:eastAsia="pl-PL"/>
        </w:rPr>
        <w:t>2</w:t>
      </w:r>
      <w:r w:rsidRPr="000C1056">
        <w:rPr>
          <w:b/>
          <w:bCs/>
          <w:lang w:val="en-US" w:eastAsia="pl-PL"/>
        </w:rPr>
        <w:t>.0</w:t>
      </w:r>
      <w:r w:rsidR="00AC6E54">
        <w:rPr>
          <w:b/>
          <w:bCs/>
          <w:lang w:val="en-US" w:eastAsia="pl-PL"/>
        </w:rPr>
        <w:t>5</w:t>
      </w:r>
      <w:r w:rsidRPr="000C1056">
        <w:rPr>
          <w:b/>
          <w:bCs/>
          <w:lang w:val="en-US" w:eastAsia="pl-PL"/>
        </w:rPr>
        <w:t>.2024</w:t>
      </w:r>
    </w:p>
    <w:p w14:paraId="73EB4EF7" w14:textId="177BBDE1" w:rsidR="000C1056" w:rsidRPr="000C1056" w:rsidRDefault="000C1056" w:rsidP="000C1056">
      <w:pPr>
        <w:spacing w:line="264" w:lineRule="auto"/>
        <w:rPr>
          <w:lang w:val="en-US" w:eastAsia="pl-PL"/>
        </w:rPr>
      </w:pPr>
      <w:r w:rsidRPr="000C1056">
        <w:rPr>
          <w:b/>
          <w:lang w:val="en-US" w:eastAsia="pl-PL"/>
        </w:rPr>
        <w:t>Customs Department, Ministry of Finance</w:t>
      </w:r>
    </w:p>
    <w:p w14:paraId="3B48326F" w14:textId="77777777" w:rsidR="000C1056" w:rsidRPr="000C1056" w:rsidRDefault="000C1056" w:rsidP="00F205F1">
      <w:pPr>
        <w:jc w:val="both"/>
        <w:rPr>
          <w:rFonts w:ascii="Lato" w:hAnsi="Lato" w:cs="Times New Roman"/>
          <w:sz w:val="24"/>
          <w:szCs w:val="24"/>
          <w:lang w:val="en-US"/>
        </w:rPr>
      </w:pPr>
    </w:p>
    <w:p w14:paraId="60A88B9B" w14:textId="77777777" w:rsidR="00F205F1" w:rsidRPr="000C1056" w:rsidRDefault="00F205F1" w:rsidP="00F205F1">
      <w:pPr>
        <w:jc w:val="both"/>
        <w:rPr>
          <w:rFonts w:ascii="Lato" w:hAnsi="Lato" w:cs="Times New Roman"/>
          <w:b/>
          <w:sz w:val="24"/>
          <w:szCs w:val="24"/>
          <w:lang w:val="en-US"/>
        </w:rPr>
      </w:pPr>
    </w:p>
    <w:p w14:paraId="45F98E95" w14:textId="73178BC1" w:rsidR="0076332E" w:rsidRPr="000C1056" w:rsidRDefault="0076332E" w:rsidP="00F205F1">
      <w:pPr>
        <w:rPr>
          <w:lang w:val="en-US"/>
        </w:rPr>
      </w:pPr>
    </w:p>
    <w:sectPr w:rsidR="0076332E" w:rsidRPr="000C1056" w:rsidSect="000042EB">
      <w:headerReference w:type="first" r:id="rId12"/>
      <w:footerReference w:type="first" r:id="rId13"/>
      <w:pgSz w:w="11906" w:h="16838"/>
      <w:pgMar w:top="1985" w:right="1417" w:bottom="1417" w:left="1418" w:header="714"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79FE" w14:textId="77777777" w:rsidR="0077001B" w:rsidRDefault="0077001B" w:rsidP="009B2767">
      <w:r>
        <w:separator/>
      </w:r>
    </w:p>
  </w:endnote>
  <w:endnote w:type="continuationSeparator" w:id="0">
    <w:p w14:paraId="486740EC" w14:textId="77777777" w:rsidR="0077001B" w:rsidRDefault="0077001B" w:rsidP="009B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D64F" w14:textId="74809837" w:rsidR="0076332E" w:rsidRPr="00440C1B" w:rsidRDefault="000042EB" w:rsidP="00FF76FE">
    <w:pPr>
      <w:spacing w:before="0"/>
      <w:ind w:left="1276"/>
      <w:rPr>
        <w:sz w:val="18"/>
        <w:szCs w:val="18"/>
        <w:lang w:eastAsia="pl-PL"/>
      </w:rPr>
    </w:pPr>
    <w:r w:rsidRPr="00440C1B">
      <w:rPr>
        <w:sz w:val="18"/>
        <w:szCs w:val="18"/>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732D" w14:textId="77777777" w:rsidR="0077001B" w:rsidRDefault="0077001B" w:rsidP="009B2767">
      <w:r>
        <w:separator/>
      </w:r>
    </w:p>
  </w:footnote>
  <w:footnote w:type="continuationSeparator" w:id="0">
    <w:p w14:paraId="73EAEFB5" w14:textId="77777777" w:rsidR="0077001B" w:rsidRDefault="0077001B" w:rsidP="009B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72DE" w14:textId="77777777" w:rsidR="002F1D8E" w:rsidRDefault="000042EB" w:rsidP="009B2767">
    <w:pPr>
      <w:rPr>
        <w:rFonts w:cs="Arial"/>
        <w:sz w:val="20"/>
        <w:szCs w:val="20"/>
      </w:rPr>
    </w:pPr>
    <w:bookmarkStart w:id="0" w:name="_Toc46926486"/>
    <w:bookmarkStart w:id="1" w:name="_Hlk54348084"/>
    <w:bookmarkStart w:id="2" w:name="_Hlk54348085"/>
    <w:r>
      <w:rPr>
        <w:noProof/>
        <w:lang w:eastAsia="pl-PL"/>
      </w:rPr>
      <w:drawing>
        <wp:anchor distT="0" distB="0" distL="114300" distR="114300" simplePos="0" relativeHeight="251658240" behindDoc="1" locked="0" layoutInCell="1" allowOverlap="1" wp14:anchorId="73BEF120" wp14:editId="7F354664">
          <wp:simplePos x="0" y="0"/>
          <wp:positionH relativeFrom="column">
            <wp:posOffset>-52070</wp:posOffset>
          </wp:positionH>
          <wp:positionV relativeFrom="paragraph">
            <wp:posOffset>-196850</wp:posOffset>
          </wp:positionV>
          <wp:extent cx="2888615" cy="600075"/>
          <wp:effectExtent l="0" t="0" r="6985" b="9525"/>
          <wp:wrapTight wrapText="bothSides">
            <wp:wrapPolygon edited="0">
              <wp:start x="0" y="0"/>
              <wp:lineTo x="0" y="21257"/>
              <wp:lineTo x="6980" y="21257"/>
              <wp:lineTo x="21510" y="15086"/>
              <wp:lineTo x="21510" y="10971"/>
              <wp:lineTo x="21082" y="10286"/>
              <wp:lineTo x="20085" y="4114"/>
              <wp:lineTo x="6980" y="0"/>
              <wp:lineTo x="0" y="0"/>
            </wp:wrapPolygon>
          </wp:wrapTight>
          <wp:docPr id="18" name="Obraz 18" descr="Obiekt graficzny, który zawiera umieszczone obok siebie w kolejności od lewej strony:&#10;1. Znak graficzny i napis Krajowa Administracja Skarbowa.&#10;2. Znak graficzny i napis SISC.&#10;" title="Logo KAS, Logo SISC"/>
          <wp:cNvGraphicFramePr/>
          <a:graphic xmlns:a="http://schemas.openxmlformats.org/drawingml/2006/main">
            <a:graphicData uri="http://schemas.openxmlformats.org/drawingml/2006/picture">
              <pic:pic xmlns:pic="http://schemas.openxmlformats.org/drawingml/2006/picture">
                <pic:nvPicPr>
                  <pic:cNvPr id="1" name="Obraz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8615" cy="600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06F1">
      <w:rPr>
        <w:i/>
        <w:noProof/>
        <w:lang w:eastAsia="pl-PL"/>
      </w:rPr>
      <mc:AlternateContent>
        <mc:Choice Requires="wps">
          <w:drawing>
            <wp:anchor distT="0" distB="0" distL="114300" distR="114300" simplePos="0" relativeHeight="251656192" behindDoc="0" locked="0" layoutInCell="1" allowOverlap="1" wp14:anchorId="39DA6E94" wp14:editId="0BD0EE2C">
              <wp:simplePos x="0" y="0"/>
              <wp:positionH relativeFrom="column">
                <wp:posOffset>-900430</wp:posOffset>
              </wp:positionH>
              <wp:positionV relativeFrom="paragraph">
                <wp:posOffset>-462915</wp:posOffset>
              </wp:positionV>
              <wp:extent cx="3793490" cy="214630"/>
              <wp:effectExtent l="0" t="0" r="0" b="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3490" cy="214630"/>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F3809" id="Prostokąt 27" o:spid="_x0000_s1026" style="position:absolute;margin-left:-70.9pt;margin-top:-36.45pt;width:298.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" fillcolor="red" stroked="f" strokeweight="2pt">
              <v:path arrowok="t"/>
            </v:rect>
          </w:pict>
        </mc:Fallback>
      </mc:AlternateContent>
    </w:r>
  </w:p>
  <w:p w14:paraId="76EA724E" w14:textId="77777777" w:rsidR="002F1D8E" w:rsidRDefault="002F1D8E" w:rsidP="009B2767"/>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3CD"/>
    <w:multiLevelType w:val="hybridMultilevel"/>
    <w:tmpl w:val="A6E09216"/>
    <w:lvl w:ilvl="0" w:tplc="892CC0C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43600"/>
    <w:multiLevelType w:val="hybridMultilevel"/>
    <w:tmpl w:val="C2D6108C"/>
    <w:lvl w:ilvl="0" w:tplc="23C81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3028C7"/>
    <w:multiLevelType w:val="hybridMultilevel"/>
    <w:tmpl w:val="D7EAC990"/>
    <w:lvl w:ilvl="0" w:tplc="4E48B5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4233B7"/>
    <w:multiLevelType w:val="hybridMultilevel"/>
    <w:tmpl w:val="5ECC519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472F1144"/>
    <w:multiLevelType w:val="hybridMultilevel"/>
    <w:tmpl w:val="15DC0CD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49241B91"/>
    <w:multiLevelType w:val="hybridMultilevel"/>
    <w:tmpl w:val="96FE2DF8"/>
    <w:lvl w:ilvl="0" w:tplc="23C8193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4C3549C6"/>
    <w:multiLevelType w:val="hybridMultilevel"/>
    <w:tmpl w:val="CD6641A2"/>
    <w:lvl w:ilvl="0" w:tplc="23C81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7E3AD2"/>
    <w:multiLevelType w:val="hybridMultilevel"/>
    <w:tmpl w:val="B6CEAB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982630"/>
    <w:multiLevelType w:val="hybridMultilevel"/>
    <w:tmpl w:val="97AACB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4347C4"/>
    <w:multiLevelType w:val="hybridMultilevel"/>
    <w:tmpl w:val="E7B6CE92"/>
    <w:lvl w:ilvl="0" w:tplc="23C81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2"/>
  </w:num>
  <w:num w:numId="6">
    <w:abstractNumId w:val="7"/>
  </w:num>
  <w:num w:numId="7">
    <w:abstractNumId w:val="8"/>
  </w:num>
  <w:num w:numId="8">
    <w:abstractNumId w:val="9"/>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FE"/>
    <w:rsid w:val="00002077"/>
    <w:rsid w:val="0000227D"/>
    <w:rsid w:val="000042EB"/>
    <w:rsid w:val="0001025B"/>
    <w:rsid w:val="00013F63"/>
    <w:rsid w:val="00016DF9"/>
    <w:rsid w:val="00023586"/>
    <w:rsid w:val="00036304"/>
    <w:rsid w:val="00042B43"/>
    <w:rsid w:val="000447DF"/>
    <w:rsid w:val="00044E33"/>
    <w:rsid w:val="00047EF6"/>
    <w:rsid w:val="00050A7E"/>
    <w:rsid w:val="0006082B"/>
    <w:rsid w:val="000612BA"/>
    <w:rsid w:val="00065F92"/>
    <w:rsid w:val="0007011B"/>
    <w:rsid w:val="00070220"/>
    <w:rsid w:val="00082064"/>
    <w:rsid w:val="00085F6E"/>
    <w:rsid w:val="000876AE"/>
    <w:rsid w:val="00094FD7"/>
    <w:rsid w:val="000A0F1D"/>
    <w:rsid w:val="000B3BE3"/>
    <w:rsid w:val="000B56B3"/>
    <w:rsid w:val="000C1056"/>
    <w:rsid w:val="000C138D"/>
    <w:rsid w:val="000C2B85"/>
    <w:rsid w:val="000C4FB3"/>
    <w:rsid w:val="000D26CE"/>
    <w:rsid w:val="000E54AD"/>
    <w:rsid w:val="000E5EE0"/>
    <w:rsid w:val="000F01FA"/>
    <w:rsid w:val="001026F0"/>
    <w:rsid w:val="001219F0"/>
    <w:rsid w:val="00141582"/>
    <w:rsid w:val="00150AA3"/>
    <w:rsid w:val="0015261C"/>
    <w:rsid w:val="00170724"/>
    <w:rsid w:val="001735FF"/>
    <w:rsid w:val="00175191"/>
    <w:rsid w:val="00176A24"/>
    <w:rsid w:val="00183B22"/>
    <w:rsid w:val="00192953"/>
    <w:rsid w:val="00196CA1"/>
    <w:rsid w:val="001A3216"/>
    <w:rsid w:val="001A3342"/>
    <w:rsid w:val="001B12C5"/>
    <w:rsid w:val="001B1831"/>
    <w:rsid w:val="001B1DA1"/>
    <w:rsid w:val="001B2F19"/>
    <w:rsid w:val="001C0E6F"/>
    <w:rsid w:val="001C2A10"/>
    <w:rsid w:val="001D6602"/>
    <w:rsid w:val="001D7470"/>
    <w:rsid w:val="001E058E"/>
    <w:rsid w:val="001E0C6B"/>
    <w:rsid w:val="001E112F"/>
    <w:rsid w:val="002047AC"/>
    <w:rsid w:val="00210E48"/>
    <w:rsid w:val="00211BD6"/>
    <w:rsid w:val="00213E43"/>
    <w:rsid w:val="00221FDA"/>
    <w:rsid w:val="00225D6D"/>
    <w:rsid w:val="00232FC3"/>
    <w:rsid w:val="0025146C"/>
    <w:rsid w:val="0025534D"/>
    <w:rsid w:val="00257F0E"/>
    <w:rsid w:val="00261642"/>
    <w:rsid w:val="00264CA3"/>
    <w:rsid w:val="00266A44"/>
    <w:rsid w:val="002709EB"/>
    <w:rsid w:val="0027694C"/>
    <w:rsid w:val="00284570"/>
    <w:rsid w:val="00292245"/>
    <w:rsid w:val="00293498"/>
    <w:rsid w:val="002A362C"/>
    <w:rsid w:val="002A7EEF"/>
    <w:rsid w:val="002B3010"/>
    <w:rsid w:val="002B48B5"/>
    <w:rsid w:val="002C4B6F"/>
    <w:rsid w:val="002C69F3"/>
    <w:rsid w:val="002D7F9C"/>
    <w:rsid w:val="002E6A77"/>
    <w:rsid w:val="002F1AC2"/>
    <w:rsid w:val="002F1D8E"/>
    <w:rsid w:val="002F4632"/>
    <w:rsid w:val="002F5A3F"/>
    <w:rsid w:val="00306EB2"/>
    <w:rsid w:val="0032090C"/>
    <w:rsid w:val="0032278E"/>
    <w:rsid w:val="00322D6B"/>
    <w:rsid w:val="00323431"/>
    <w:rsid w:val="003325F0"/>
    <w:rsid w:val="00340945"/>
    <w:rsid w:val="0034750A"/>
    <w:rsid w:val="00351047"/>
    <w:rsid w:val="0035265B"/>
    <w:rsid w:val="003533EB"/>
    <w:rsid w:val="00362E6D"/>
    <w:rsid w:val="003714DC"/>
    <w:rsid w:val="00373B41"/>
    <w:rsid w:val="0037465C"/>
    <w:rsid w:val="003747E2"/>
    <w:rsid w:val="00375BF6"/>
    <w:rsid w:val="00380BB2"/>
    <w:rsid w:val="00381CEF"/>
    <w:rsid w:val="0038239C"/>
    <w:rsid w:val="00383DDE"/>
    <w:rsid w:val="0038716D"/>
    <w:rsid w:val="00393603"/>
    <w:rsid w:val="003A03BB"/>
    <w:rsid w:val="003A77AB"/>
    <w:rsid w:val="003B1F70"/>
    <w:rsid w:val="003B36A2"/>
    <w:rsid w:val="003B3A1A"/>
    <w:rsid w:val="003B7CB8"/>
    <w:rsid w:val="003C04FA"/>
    <w:rsid w:val="003C244F"/>
    <w:rsid w:val="003C281B"/>
    <w:rsid w:val="003C6A12"/>
    <w:rsid w:val="003D1FFB"/>
    <w:rsid w:val="003E58C0"/>
    <w:rsid w:val="003F0B57"/>
    <w:rsid w:val="003F15A8"/>
    <w:rsid w:val="003F1711"/>
    <w:rsid w:val="003F5302"/>
    <w:rsid w:val="00401544"/>
    <w:rsid w:val="00407094"/>
    <w:rsid w:val="0040758F"/>
    <w:rsid w:val="00407E66"/>
    <w:rsid w:val="00416159"/>
    <w:rsid w:val="00420277"/>
    <w:rsid w:val="0042028A"/>
    <w:rsid w:val="00423233"/>
    <w:rsid w:val="0043506E"/>
    <w:rsid w:val="004408E8"/>
    <w:rsid w:val="00440C1B"/>
    <w:rsid w:val="004478A8"/>
    <w:rsid w:val="004514E4"/>
    <w:rsid w:val="004543A2"/>
    <w:rsid w:val="004559E0"/>
    <w:rsid w:val="0045699E"/>
    <w:rsid w:val="004575F4"/>
    <w:rsid w:val="004624C7"/>
    <w:rsid w:val="00463530"/>
    <w:rsid w:val="00464DE7"/>
    <w:rsid w:val="004723AE"/>
    <w:rsid w:val="004734B5"/>
    <w:rsid w:val="0047458D"/>
    <w:rsid w:val="004815E8"/>
    <w:rsid w:val="00486F89"/>
    <w:rsid w:val="00490EA4"/>
    <w:rsid w:val="004A3BD4"/>
    <w:rsid w:val="004B4045"/>
    <w:rsid w:val="004C4D16"/>
    <w:rsid w:val="004C6F84"/>
    <w:rsid w:val="004D2A96"/>
    <w:rsid w:val="004D4F81"/>
    <w:rsid w:val="004E5703"/>
    <w:rsid w:val="004F0E26"/>
    <w:rsid w:val="00513E8B"/>
    <w:rsid w:val="005265E6"/>
    <w:rsid w:val="005267CB"/>
    <w:rsid w:val="00536FF7"/>
    <w:rsid w:val="00537181"/>
    <w:rsid w:val="00551AEC"/>
    <w:rsid w:val="00552FCC"/>
    <w:rsid w:val="005571EE"/>
    <w:rsid w:val="0057589A"/>
    <w:rsid w:val="00582D8C"/>
    <w:rsid w:val="00583514"/>
    <w:rsid w:val="005959B8"/>
    <w:rsid w:val="005A0733"/>
    <w:rsid w:val="005B4F90"/>
    <w:rsid w:val="005B71A8"/>
    <w:rsid w:val="005C3A04"/>
    <w:rsid w:val="005C421E"/>
    <w:rsid w:val="005C42B6"/>
    <w:rsid w:val="005C71FB"/>
    <w:rsid w:val="005E53DF"/>
    <w:rsid w:val="005E5729"/>
    <w:rsid w:val="005E625B"/>
    <w:rsid w:val="005F3345"/>
    <w:rsid w:val="005F5191"/>
    <w:rsid w:val="005F572C"/>
    <w:rsid w:val="00600F13"/>
    <w:rsid w:val="006030C1"/>
    <w:rsid w:val="006030D1"/>
    <w:rsid w:val="0060373F"/>
    <w:rsid w:val="006143C1"/>
    <w:rsid w:val="0061624A"/>
    <w:rsid w:val="00622C29"/>
    <w:rsid w:val="006332C6"/>
    <w:rsid w:val="006404EA"/>
    <w:rsid w:val="00641E9F"/>
    <w:rsid w:val="00643A03"/>
    <w:rsid w:val="00653EC0"/>
    <w:rsid w:val="006544EF"/>
    <w:rsid w:val="00656E6E"/>
    <w:rsid w:val="00673448"/>
    <w:rsid w:val="006744E2"/>
    <w:rsid w:val="00685979"/>
    <w:rsid w:val="00685C65"/>
    <w:rsid w:val="00690827"/>
    <w:rsid w:val="00697145"/>
    <w:rsid w:val="006A2EA7"/>
    <w:rsid w:val="006A5797"/>
    <w:rsid w:val="006B0BB2"/>
    <w:rsid w:val="006C1E2A"/>
    <w:rsid w:val="006C30A6"/>
    <w:rsid w:val="006C6274"/>
    <w:rsid w:val="006C65FA"/>
    <w:rsid w:val="006D60EB"/>
    <w:rsid w:val="006E1212"/>
    <w:rsid w:val="006E1F34"/>
    <w:rsid w:val="006E21A5"/>
    <w:rsid w:val="006E3E3F"/>
    <w:rsid w:val="006E5673"/>
    <w:rsid w:val="006E59C4"/>
    <w:rsid w:val="006F0C6C"/>
    <w:rsid w:val="006F7FB6"/>
    <w:rsid w:val="00700A66"/>
    <w:rsid w:val="00702AD2"/>
    <w:rsid w:val="00702C93"/>
    <w:rsid w:val="00703A06"/>
    <w:rsid w:val="0071495B"/>
    <w:rsid w:val="00714B19"/>
    <w:rsid w:val="0072129D"/>
    <w:rsid w:val="007216BA"/>
    <w:rsid w:val="0072593D"/>
    <w:rsid w:val="00725A28"/>
    <w:rsid w:val="00733869"/>
    <w:rsid w:val="0073798B"/>
    <w:rsid w:val="00745C37"/>
    <w:rsid w:val="00746497"/>
    <w:rsid w:val="00752195"/>
    <w:rsid w:val="0076332E"/>
    <w:rsid w:val="00765334"/>
    <w:rsid w:val="0077001B"/>
    <w:rsid w:val="00771CBF"/>
    <w:rsid w:val="0077314E"/>
    <w:rsid w:val="00776491"/>
    <w:rsid w:val="00780423"/>
    <w:rsid w:val="00785E6E"/>
    <w:rsid w:val="00791145"/>
    <w:rsid w:val="00793D9F"/>
    <w:rsid w:val="0079493F"/>
    <w:rsid w:val="00796E89"/>
    <w:rsid w:val="00797B7B"/>
    <w:rsid w:val="007A0215"/>
    <w:rsid w:val="007A03FE"/>
    <w:rsid w:val="007A50BE"/>
    <w:rsid w:val="007A7426"/>
    <w:rsid w:val="007B1CFE"/>
    <w:rsid w:val="007B49F9"/>
    <w:rsid w:val="007C6BCF"/>
    <w:rsid w:val="007D1742"/>
    <w:rsid w:val="007E169F"/>
    <w:rsid w:val="007E1C0B"/>
    <w:rsid w:val="007E4E3C"/>
    <w:rsid w:val="007E5F62"/>
    <w:rsid w:val="007F06F1"/>
    <w:rsid w:val="007F29E4"/>
    <w:rsid w:val="007F3357"/>
    <w:rsid w:val="007F7D36"/>
    <w:rsid w:val="00800EA9"/>
    <w:rsid w:val="0080297E"/>
    <w:rsid w:val="0080601D"/>
    <w:rsid w:val="00812518"/>
    <w:rsid w:val="00824DFA"/>
    <w:rsid w:val="00824F66"/>
    <w:rsid w:val="00830F4D"/>
    <w:rsid w:val="00833747"/>
    <w:rsid w:val="0083383A"/>
    <w:rsid w:val="00840D6F"/>
    <w:rsid w:val="00841861"/>
    <w:rsid w:val="008519C6"/>
    <w:rsid w:val="00853478"/>
    <w:rsid w:val="008645D7"/>
    <w:rsid w:val="00886121"/>
    <w:rsid w:val="00896929"/>
    <w:rsid w:val="008A1C94"/>
    <w:rsid w:val="008A3469"/>
    <w:rsid w:val="008B45CF"/>
    <w:rsid w:val="008B468D"/>
    <w:rsid w:val="008C1D1F"/>
    <w:rsid w:val="008C2126"/>
    <w:rsid w:val="008C4718"/>
    <w:rsid w:val="008D4387"/>
    <w:rsid w:val="008D621F"/>
    <w:rsid w:val="008D6AF8"/>
    <w:rsid w:val="008D6F89"/>
    <w:rsid w:val="008F576E"/>
    <w:rsid w:val="009051CE"/>
    <w:rsid w:val="0090543B"/>
    <w:rsid w:val="00906194"/>
    <w:rsid w:val="0091104A"/>
    <w:rsid w:val="00913CE0"/>
    <w:rsid w:val="00916FBB"/>
    <w:rsid w:val="00917EC8"/>
    <w:rsid w:val="009232AD"/>
    <w:rsid w:val="009369C0"/>
    <w:rsid w:val="00937479"/>
    <w:rsid w:val="00937D8D"/>
    <w:rsid w:val="00940A53"/>
    <w:rsid w:val="009422A2"/>
    <w:rsid w:val="009427F9"/>
    <w:rsid w:val="00946481"/>
    <w:rsid w:val="009516B5"/>
    <w:rsid w:val="009544A2"/>
    <w:rsid w:val="00954A95"/>
    <w:rsid w:val="009635A6"/>
    <w:rsid w:val="00964CB3"/>
    <w:rsid w:val="00965309"/>
    <w:rsid w:val="00970A46"/>
    <w:rsid w:val="0097494C"/>
    <w:rsid w:val="00974A43"/>
    <w:rsid w:val="00974F7E"/>
    <w:rsid w:val="009759D7"/>
    <w:rsid w:val="0098082E"/>
    <w:rsid w:val="0098391A"/>
    <w:rsid w:val="00983D7A"/>
    <w:rsid w:val="00986729"/>
    <w:rsid w:val="00991433"/>
    <w:rsid w:val="009920F0"/>
    <w:rsid w:val="009936E1"/>
    <w:rsid w:val="009A0C33"/>
    <w:rsid w:val="009A4062"/>
    <w:rsid w:val="009A435A"/>
    <w:rsid w:val="009B065B"/>
    <w:rsid w:val="009B0F97"/>
    <w:rsid w:val="009B2767"/>
    <w:rsid w:val="009B7026"/>
    <w:rsid w:val="009C12AB"/>
    <w:rsid w:val="009C5DD7"/>
    <w:rsid w:val="009D291D"/>
    <w:rsid w:val="009E7A9E"/>
    <w:rsid w:val="009F38EF"/>
    <w:rsid w:val="00A00454"/>
    <w:rsid w:val="00A1376F"/>
    <w:rsid w:val="00A16242"/>
    <w:rsid w:val="00A204A3"/>
    <w:rsid w:val="00A23DB3"/>
    <w:rsid w:val="00A30230"/>
    <w:rsid w:val="00A3101E"/>
    <w:rsid w:val="00A42DD0"/>
    <w:rsid w:val="00A45C28"/>
    <w:rsid w:val="00A46873"/>
    <w:rsid w:val="00A50262"/>
    <w:rsid w:val="00A52FB8"/>
    <w:rsid w:val="00A5770B"/>
    <w:rsid w:val="00A60037"/>
    <w:rsid w:val="00A607FB"/>
    <w:rsid w:val="00A615DD"/>
    <w:rsid w:val="00A62217"/>
    <w:rsid w:val="00A71A6E"/>
    <w:rsid w:val="00A7203C"/>
    <w:rsid w:val="00A72529"/>
    <w:rsid w:val="00A82593"/>
    <w:rsid w:val="00A8566E"/>
    <w:rsid w:val="00A8777D"/>
    <w:rsid w:val="00A922EF"/>
    <w:rsid w:val="00AA0F04"/>
    <w:rsid w:val="00AA3CBE"/>
    <w:rsid w:val="00AA7B7B"/>
    <w:rsid w:val="00AB08EA"/>
    <w:rsid w:val="00AB5A6C"/>
    <w:rsid w:val="00AB744B"/>
    <w:rsid w:val="00AC0C43"/>
    <w:rsid w:val="00AC2D16"/>
    <w:rsid w:val="00AC6E54"/>
    <w:rsid w:val="00AD180D"/>
    <w:rsid w:val="00AD1EB9"/>
    <w:rsid w:val="00AD37E8"/>
    <w:rsid w:val="00AD6DF5"/>
    <w:rsid w:val="00AD7B52"/>
    <w:rsid w:val="00AE4E91"/>
    <w:rsid w:val="00AE5CD5"/>
    <w:rsid w:val="00AE5E6B"/>
    <w:rsid w:val="00AF6DDB"/>
    <w:rsid w:val="00AF71EC"/>
    <w:rsid w:val="00AF7CC6"/>
    <w:rsid w:val="00B0268B"/>
    <w:rsid w:val="00B151EE"/>
    <w:rsid w:val="00B1762C"/>
    <w:rsid w:val="00B24C9F"/>
    <w:rsid w:val="00B24E55"/>
    <w:rsid w:val="00B24FAB"/>
    <w:rsid w:val="00B266CC"/>
    <w:rsid w:val="00B36E6C"/>
    <w:rsid w:val="00B41310"/>
    <w:rsid w:val="00B5036C"/>
    <w:rsid w:val="00B756FE"/>
    <w:rsid w:val="00B77FFD"/>
    <w:rsid w:val="00B82A5B"/>
    <w:rsid w:val="00B94A86"/>
    <w:rsid w:val="00B96BA2"/>
    <w:rsid w:val="00B9704C"/>
    <w:rsid w:val="00BA725A"/>
    <w:rsid w:val="00BA7884"/>
    <w:rsid w:val="00BB4778"/>
    <w:rsid w:val="00BB58D3"/>
    <w:rsid w:val="00BB6BF5"/>
    <w:rsid w:val="00BB7EF0"/>
    <w:rsid w:val="00BC2988"/>
    <w:rsid w:val="00BC42B1"/>
    <w:rsid w:val="00BC7A7D"/>
    <w:rsid w:val="00BD365C"/>
    <w:rsid w:val="00BD383B"/>
    <w:rsid w:val="00C00422"/>
    <w:rsid w:val="00C169D5"/>
    <w:rsid w:val="00C177B6"/>
    <w:rsid w:val="00C21B40"/>
    <w:rsid w:val="00C230F1"/>
    <w:rsid w:val="00C34221"/>
    <w:rsid w:val="00C37535"/>
    <w:rsid w:val="00C4502D"/>
    <w:rsid w:val="00C56304"/>
    <w:rsid w:val="00C93F86"/>
    <w:rsid w:val="00C943A1"/>
    <w:rsid w:val="00C95E43"/>
    <w:rsid w:val="00C96953"/>
    <w:rsid w:val="00CA0685"/>
    <w:rsid w:val="00CA078F"/>
    <w:rsid w:val="00CB05E1"/>
    <w:rsid w:val="00CC689E"/>
    <w:rsid w:val="00CD2F12"/>
    <w:rsid w:val="00CF325E"/>
    <w:rsid w:val="00D107BE"/>
    <w:rsid w:val="00D10CFA"/>
    <w:rsid w:val="00D1251E"/>
    <w:rsid w:val="00D13EFC"/>
    <w:rsid w:val="00D1541E"/>
    <w:rsid w:val="00D20718"/>
    <w:rsid w:val="00D2098D"/>
    <w:rsid w:val="00D24F4E"/>
    <w:rsid w:val="00D4589F"/>
    <w:rsid w:val="00D46D47"/>
    <w:rsid w:val="00D47789"/>
    <w:rsid w:val="00D57938"/>
    <w:rsid w:val="00D7758E"/>
    <w:rsid w:val="00D82626"/>
    <w:rsid w:val="00D844E7"/>
    <w:rsid w:val="00D90836"/>
    <w:rsid w:val="00D92C74"/>
    <w:rsid w:val="00DA223D"/>
    <w:rsid w:val="00DA4EFF"/>
    <w:rsid w:val="00DB0A4C"/>
    <w:rsid w:val="00DB4260"/>
    <w:rsid w:val="00DB6FD3"/>
    <w:rsid w:val="00DC4FF5"/>
    <w:rsid w:val="00DD3C30"/>
    <w:rsid w:val="00DD5A94"/>
    <w:rsid w:val="00DE04A6"/>
    <w:rsid w:val="00DE0BB9"/>
    <w:rsid w:val="00DE76DA"/>
    <w:rsid w:val="00DE7B78"/>
    <w:rsid w:val="00DF5518"/>
    <w:rsid w:val="00DF5BEA"/>
    <w:rsid w:val="00DF6857"/>
    <w:rsid w:val="00DF7260"/>
    <w:rsid w:val="00E01B19"/>
    <w:rsid w:val="00E03C8B"/>
    <w:rsid w:val="00E05EAA"/>
    <w:rsid w:val="00E10E27"/>
    <w:rsid w:val="00E11A5C"/>
    <w:rsid w:val="00E1574D"/>
    <w:rsid w:val="00E22CD7"/>
    <w:rsid w:val="00E239D1"/>
    <w:rsid w:val="00E25EDB"/>
    <w:rsid w:val="00E263BD"/>
    <w:rsid w:val="00E3181E"/>
    <w:rsid w:val="00E67EB3"/>
    <w:rsid w:val="00E76C33"/>
    <w:rsid w:val="00E86E25"/>
    <w:rsid w:val="00E90D42"/>
    <w:rsid w:val="00E9693B"/>
    <w:rsid w:val="00EA0758"/>
    <w:rsid w:val="00EA241F"/>
    <w:rsid w:val="00EB3B53"/>
    <w:rsid w:val="00EB55FA"/>
    <w:rsid w:val="00EC321D"/>
    <w:rsid w:val="00EC4339"/>
    <w:rsid w:val="00EC787B"/>
    <w:rsid w:val="00ED01B9"/>
    <w:rsid w:val="00ED17BE"/>
    <w:rsid w:val="00EE7B26"/>
    <w:rsid w:val="00EF1025"/>
    <w:rsid w:val="00EF126C"/>
    <w:rsid w:val="00EF649C"/>
    <w:rsid w:val="00F04191"/>
    <w:rsid w:val="00F14272"/>
    <w:rsid w:val="00F15294"/>
    <w:rsid w:val="00F205F1"/>
    <w:rsid w:val="00F21D11"/>
    <w:rsid w:val="00F242CC"/>
    <w:rsid w:val="00F25C10"/>
    <w:rsid w:val="00F2617A"/>
    <w:rsid w:val="00F42B1B"/>
    <w:rsid w:val="00F42B75"/>
    <w:rsid w:val="00F651CF"/>
    <w:rsid w:val="00F70BC6"/>
    <w:rsid w:val="00F71A6D"/>
    <w:rsid w:val="00F85A55"/>
    <w:rsid w:val="00F94ACF"/>
    <w:rsid w:val="00F96484"/>
    <w:rsid w:val="00FA271C"/>
    <w:rsid w:val="00FA29A3"/>
    <w:rsid w:val="00FA4AC0"/>
    <w:rsid w:val="00FB53D4"/>
    <w:rsid w:val="00FC5407"/>
    <w:rsid w:val="00FE0279"/>
    <w:rsid w:val="00FE0604"/>
    <w:rsid w:val="00FE363F"/>
    <w:rsid w:val="00FE3AEF"/>
    <w:rsid w:val="00FF380A"/>
    <w:rsid w:val="00FF6435"/>
    <w:rsid w:val="00FF6797"/>
    <w:rsid w:val="00FF7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F693B"/>
  <w15:docId w15:val="{25535E63-E247-4A14-A486-E3CE4D1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2767"/>
    <w:pPr>
      <w:spacing w:before="120" w:after="0" w:line="324" w:lineRule="auto"/>
    </w:pPr>
    <w:rPr>
      <w:rFonts w:ascii="Arial" w:hAnsi="Arial"/>
    </w:rPr>
  </w:style>
  <w:style w:type="paragraph" w:styleId="Nagwek1">
    <w:name w:val="heading 1"/>
    <w:basedOn w:val="Nagwek2"/>
    <w:next w:val="Normalny"/>
    <w:link w:val="Nagwek1Znak"/>
    <w:uiPriority w:val="9"/>
    <w:qFormat/>
    <w:rsid w:val="00BB6BF5"/>
    <w:pPr>
      <w:outlineLvl w:val="0"/>
    </w:pPr>
    <w:rPr>
      <w:sz w:val="42"/>
      <w:szCs w:val="42"/>
    </w:rPr>
  </w:style>
  <w:style w:type="paragraph" w:styleId="Nagwek2">
    <w:name w:val="heading 2"/>
    <w:basedOn w:val="Normalny"/>
    <w:next w:val="Normalny"/>
    <w:link w:val="Nagwek2Znak"/>
    <w:uiPriority w:val="9"/>
    <w:unhideWhenUsed/>
    <w:qFormat/>
    <w:rsid w:val="00284570"/>
    <w:pPr>
      <w:keepNext/>
      <w:keepLines/>
      <w:spacing w:before="240" w:after="120"/>
      <w:outlineLvl w:val="1"/>
    </w:pPr>
    <w:rPr>
      <w:rFonts w:eastAsia="Times New Roman" w:cs="Arial"/>
      <w:b/>
      <w:bCs/>
      <w:color w:val="333333"/>
      <w:kern w:val="36"/>
      <w:sz w:val="28"/>
      <w:szCs w:val="28"/>
      <w:lang w:eastAsia="pl-PL"/>
    </w:rPr>
  </w:style>
  <w:style w:type="paragraph" w:styleId="Nagwek3">
    <w:name w:val="heading 3"/>
    <w:basedOn w:val="Normalny"/>
    <w:next w:val="Normalny"/>
    <w:link w:val="Nagwek3Znak"/>
    <w:uiPriority w:val="9"/>
    <w:unhideWhenUsed/>
    <w:qFormat/>
    <w:rsid w:val="009B2767"/>
    <w:pPr>
      <w:keepNext/>
      <w:keepLines/>
      <w:spacing w:after="120"/>
      <w:outlineLvl w:val="2"/>
    </w:pPr>
    <w:rPr>
      <w:rFonts w:eastAsia="Times New Roman" w:cs="Arial"/>
      <w:b/>
      <w:bCs/>
      <w:color w:val="333333"/>
      <w:sz w:val="24"/>
      <w:szCs w:val="27"/>
      <w:shd w:val="clear" w:color="auto" w:fill="FFFFFF"/>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B6BF5"/>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B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BB6BF5"/>
    <w:rPr>
      <w:rFonts w:ascii="Arial" w:eastAsia="Times New Roman" w:hAnsi="Arial" w:cs="Arial"/>
      <w:b/>
      <w:bCs/>
      <w:color w:val="333333"/>
      <w:kern w:val="36"/>
      <w:sz w:val="42"/>
      <w:szCs w:val="42"/>
      <w:lang w:eastAsia="pl-PL"/>
    </w:rPr>
  </w:style>
  <w:style w:type="character" w:customStyle="1" w:styleId="Nagwek2Znak">
    <w:name w:val="Nagłówek 2 Znak"/>
    <w:basedOn w:val="Domylnaczcionkaakapitu"/>
    <w:link w:val="Nagwek2"/>
    <w:uiPriority w:val="9"/>
    <w:rsid w:val="00284570"/>
    <w:rPr>
      <w:rFonts w:ascii="Arial" w:eastAsia="Times New Roman" w:hAnsi="Arial" w:cs="Arial"/>
      <w:b/>
      <w:bCs/>
      <w:color w:val="333333"/>
      <w:kern w:val="36"/>
      <w:sz w:val="28"/>
      <w:szCs w:val="28"/>
      <w:lang w:eastAsia="pl-PL"/>
    </w:rPr>
  </w:style>
  <w:style w:type="paragraph" w:styleId="Nagwek">
    <w:name w:val="header"/>
    <w:basedOn w:val="Normalny"/>
    <w:link w:val="NagwekZnak"/>
    <w:uiPriority w:val="99"/>
    <w:unhideWhenUsed/>
    <w:rsid w:val="00D92C74"/>
    <w:pPr>
      <w:tabs>
        <w:tab w:val="center" w:pos="4536"/>
        <w:tab w:val="right" w:pos="9072"/>
      </w:tabs>
      <w:spacing w:line="240" w:lineRule="auto"/>
    </w:pPr>
  </w:style>
  <w:style w:type="character" w:customStyle="1" w:styleId="NagwekZnak">
    <w:name w:val="Nagłówek Znak"/>
    <w:basedOn w:val="Domylnaczcionkaakapitu"/>
    <w:link w:val="Nagwek"/>
    <w:uiPriority w:val="99"/>
    <w:rsid w:val="00D92C74"/>
  </w:style>
  <w:style w:type="paragraph" w:styleId="Stopka">
    <w:name w:val="footer"/>
    <w:basedOn w:val="Normalny"/>
    <w:link w:val="StopkaZnak"/>
    <w:uiPriority w:val="99"/>
    <w:unhideWhenUsed/>
    <w:rsid w:val="00D92C74"/>
    <w:pPr>
      <w:tabs>
        <w:tab w:val="center" w:pos="4536"/>
        <w:tab w:val="right" w:pos="9072"/>
      </w:tabs>
      <w:spacing w:line="240" w:lineRule="auto"/>
    </w:pPr>
  </w:style>
  <w:style w:type="character" w:customStyle="1" w:styleId="StopkaZnak">
    <w:name w:val="Stopka Znak"/>
    <w:basedOn w:val="Domylnaczcionkaakapitu"/>
    <w:link w:val="Stopka"/>
    <w:uiPriority w:val="99"/>
    <w:rsid w:val="00D92C74"/>
  </w:style>
  <w:style w:type="character" w:customStyle="1" w:styleId="Nagwek3Znak">
    <w:name w:val="Nagłówek 3 Znak"/>
    <w:basedOn w:val="Domylnaczcionkaakapitu"/>
    <w:link w:val="Nagwek3"/>
    <w:uiPriority w:val="9"/>
    <w:rsid w:val="009B2767"/>
    <w:rPr>
      <w:rFonts w:ascii="Arial" w:eastAsia="Times New Roman" w:hAnsi="Arial" w:cs="Arial"/>
      <w:b/>
      <w:bCs/>
      <w:color w:val="333333"/>
      <w:sz w:val="24"/>
      <w:szCs w:val="27"/>
      <w:lang w:eastAsia="pl-PL"/>
    </w:rPr>
  </w:style>
  <w:style w:type="paragraph" w:styleId="Akapitzlist">
    <w:name w:val="List Paragraph"/>
    <w:basedOn w:val="Normalny"/>
    <w:link w:val="AkapitzlistZnak"/>
    <w:uiPriority w:val="34"/>
    <w:qFormat/>
    <w:rsid w:val="002F1D8E"/>
    <w:pPr>
      <w:ind w:left="720"/>
      <w:contextualSpacing/>
    </w:pPr>
  </w:style>
  <w:style w:type="character" w:styleId="Hipercze">
    <w:name w:val="Hyperlink"/>
    <w:basedOn w:val="Domylnaczcionkaakapitu"/>
    <w:uiPriority w:val="99"/>
    <w:unhideWhenUsed/>
    <w:rsid w:val="006F7FB6"/>
    <w:rPr>
      <w:color w:val="0563C1"/>
      <w:u w:val="single"/>
    </w:rPr>
  </w:style>
  <w:style w:type="character" w:styleId="Odwoaniedokomentarza">
    <w:name w:val="annotation reference"/>
    <w:basedOn w:val="Domylnaczcionkaakapitu"/>
    <w:uiPriority w:val="99"/>
    <w:semiHidden/>
    <w:unhideWhenUsed/>
    <w:rsid w:val="006F7FB6"/>
    <w:rPr>
      <w:sz w:val="16"/>
      <w:szCs w:val="16"/>
    </w:rPr>
  </w:style>
  <w:style w:type="paragraph" w:styleId="Tekstkomentarza">
    <w:name w:val="annotation text"/>
    <w:basedOn w:val="Normalny"/>
    <w:link w:val="TekstkomentarzaZnak"/>
    <w:uiPriority w:val="99"/>
    <w:semiHidden/>
    <w:unhideWhenUsed/>
    <w:rsid w:val="006F7FB6"/>
    <w:pPr>
      <w:spacing w:line="240" w:lineRule="auto"/>
    </w:pPr>
    <w:rPr>
      <w:rFonts w:ascii="Calibri" w:hAnsi="Calibri" w:cs="Calibri"/>
      <w:sz w:val="20"/>
      <w:szCs w:val="20"/>
    </w:rPr>
  </w:style>
  <w:style w:type="character" w:customStyle="1" w:styleId="TekstkomentarzaZnak">
    <w:name w:val="Tekst komentarza Znak"/>
    <w:basedOn w:val="Domylnaczcionkaakapitu"/>
    <w:link w:val="Tekstkomentarza"/>
    <w:uiPriority w:val="99"/>
    <w:semiHidden/>
    <w:rsid w:val="006F7FB6"/>
    <w:rPr>
      <w:rFonts w:ascii="Calibri" w:hAnsi="Calibri" w:cs="Calibri"/>
      <w:sz w:val="20"/>
      <w:szCs w:val="20"/>
    </w:rPr>
  </w:style>
  <w:style w:type="paragraph" w:styleId="Tekstdymka">
    <w:name w:val="Balloon Text"/>
    <w:basedOn w:val="Normalny"/>
    <w:link w:val="TekstdymkaZnak"/>
    <w:uiPriority w:val="99"/>
    <w:semiHidden/>
    <w:unhideWhenUsed/>
    <w:rsid w:val="006F7FB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B6"/>
    <w:rPr>
      <w:rFonts w:ascii="Segoe UI" w:hAnsi="Segoe UI" w:cs="Segoe UI"/>
      <w:sz w:val="18"/>
      <w:szCs w:val="18"/>
    </w:rPr>
  </w:style>
  <w:style w:type="paragraph" w:styleId="Bezodstpw">
    <w:name w:val="No Spacing"/>
    <w:uiPriority w:val="1"/>
    <w:qFormat/>
    <w:rsid w:val="006F7FB6"/>
    <w:pPr>
      <w:spacing w:after="0" w:line="240" w:lineRule="auto"/>
    </w:pPr>
    <w:rPr>
      <w:rFonts w:ascii="Arial" w:hAnsi="Arial"/>
    </w:rPr>
  </w:style>
  <w:style w:type="paragraph" w:styleId="Tematkomentarza">
    <w:name w:val="annotation subject"/>
    <w:basedOn w:val="Tekstkomentarza"/>
    <w:next w:val="Tekstkomentarza"/>
    <w:link w:val="TematkomentarzaZnak"/>
    <w:uiPriority w:val="99"/>
    <w:semiHidden/>
    <w:unhideWhenUsed/>
    <w:rsid w:val="00FA271C"/>
    <w:pPr>
      <w:spacing w:after="160"/>
    </w:pPr>
    <w:rPr>
      <w:rFonts w:ascii="Arial" w:hAnsi="Arial" w:cstheme="minorBidi"/>
      <w:b/>
      <w:bCs/>
    </w:rPr>
  </w:style>
  <w:style w:type="character" w:customStyle="1" w:styleId="TematkomentarzaZnak">
    <w:name w:val="Temat komentarza Znak"/>
    <w:basedOn w:val="TekstkomentarzaZnak"/>
    <w:link w:val="Tematkomentarza"/>
    <w:uiPriority w:val="99"/>
    <w:semiHidden/>
    <w:rsid w:val="00FA271C"/>
    <w:rPr>
      <w:rFonts w:ascii="Arial" w:hAnsi="Arial" w:cs="Calibri"/>
      <w:b/>
      <w:bCs/>
      <w:sz w:val="20"/>
      <w:szCs w:val="20"/>
    </w:rPr>
  </w:style>
  <w:style w:type="character" w:customStyle="1" w:styleId="Nierozpoznanawzmianka1">
    <w:name w:val="Nierozpoznana wzmianka1"/>
    <w:basedOn w:val="Domylnaczcionkaakapitu"/>
    <w:uiPriority w:val="99"/>
    <w:semiHidden/>
    <w:unhideWhenUsed/>
    <w:rsid w:val="00A204A3"/>
    <w:rPr>
      <w:color w:val="605E5C"/>
      <w:shd w:val="clear" w:color="auto" w:fill="E1DFDD"/>
    </w:rPr>
  </w:style>
  <w:style w:type="character" w:styleId="UyteHipercze">
    <w:name w:val="FollowedHyperlink"/>
    <w:basedOn w:val="Domylnaczcionkaakapitu"/>
    <w:uiPriority w:val="99"/>
    <w:semiHidden/>
    <w:unhideWhenUsed/>
    <w:rsid w:val="00F04191"/>
    <w:rPr>
      <w:color w:val="954F72" w:themeColor="followedHyperlink"/>
      <w:u w:val="single"/>
    </w:rPr>
  </w:style>
  <w:style w:type="character" w:customStyle="1" w:styleId="Nierozpoznanawzmianka2">
    <w:name w:val="Nierozpoznana wzmianka2"/>
    <w:basedOn w:val="Domylnaczcionkaakapitu"/>
    <w:uiPriority w:val="99"/>
    <w:semiHidden/>
    <w:unhideWhenUsed/>
    <w:rsid w:val="000B3BE3"/>
    <w:rPr>
      <w:color w:val="605E5C"/>
      <w:shd w:val="clear" w:color="auto" w:fill="E1DFDD"/>
    </w:rPr>
  </w:style>
  <w:style w:type="paragraph" w:customStyle="1" w:styleId="Default">
    <w:name w:val="Default"/>
    <w:rsid w:val="00FF6797"/>
    <w:pPr>
      <w:autoSpaceDE w:val="0"/>
      <w:autoSpaceDN w:val="0"/>
      <w:adjustRightInd w:val="0"/>
      <w:spacing w:after="0" w:line="240" w:lineRule="auto"/>
    </w:pPr>
    <w:rPr>
      <w:rFonts w:ascii="Calibri" w:hAnsi="Calibri" w:cs="Calibri"/>
      <w:color w:val="000000"/>
      <w:sz w:val="24"/>
      <w:szCs w:val="24"/>
    </w:rPr>
  </w:style>
  <w:style w:type="character" w:customStyle="1" w:styleId="czeinternetowe">
    <w:name w:val="Łącze internetowe"/>
    <w:uiPriority w:val="99"/>
    <w:unhideWhenUsed/>
    <w:rsid w:val="00CD2F12"/>
    <w:rPr>
      <w:color w:val="0000FF"/>
      <w:u w:val="single"/>
    </w:rPr>
  </w:style>
  <w:style w:type="character" w:customStyle="1" w:styleId="AkapitzlistZnak">
    <w:name w:val="Akapit z listą Znak"/>
    <w:link w:val="Akapitzlist"/>
    <w:uiPriority w:val="34"/>
    <w:qFormat/>
    <w:rsid w:val="00CD2F12"/>
    <w:rPr>
      <w:rFonts w:ascii="Arial" w:hAnsi="Arial"/>
    </w:rPr>
  </w:style>
  <w:style w:type="character" w:customStyle="1" w:styleId="TekstpodstawowyZnak">
    <w:name w:val="Tekst podstawowy Znak"/>
    <w:basedOn w:val="Domylnaczcionkaakapitu"/>
    <w:link w:val="Tekstpodstawowy"/>
    <w:uiPriority w:val="1"/>
    <w:qFormat/>
    <w:rsid w:val="00065F92"/>
    <w:rPr>
      <w:rFonts w:eastAsia="Lato" w:cs="Lato"/>
      <w:sz w:val="24"/>
    </w:rPr>
  </w:style>
  <w:style w:type="paragraph" w:styleId="Tekstpodstawowy">
    <w:name w:val="Body Text"/>
    <w:basedOn w:val="Normalny"/>
    <w:link w:val="TekstpodstawowyZnak"/>
    <w:uiPriority w:val="1"/>
    <w:qFormat/>
    <w:rsid w:val="00065F92"/>
    <w:pPr>
      <w:widowControl w:val="0"/>
      <w:suppressAutoHyphens/>
      <w:spacing w:before="0" w:after="120" w:line="240" w:lineRule="auto"/>
    </w:pPr>
    <w:rPr>
      <w:rFonts w:asciiTheme="minorHAnsi" w:eastAsia="Lato" w:hAnsiTheme="minorHAnsi" w:cs="Lato"/>
      <w:sz w:val="24"/>
    </w:rPr>
  </w:style>
  <w:style w:type="character" w:customStyle="1" w:styleId="TekstpodstawowyZnak1">
    <w:name w:val="Tekst podstawowy Znak1"/>
    <w:basedOn w:val="Domylnaczcionkaakapitu"/>
    <w:uiPriority w:val="99"/>
    <w:semiHidden/>
    <w:rsid w:val="00065F92"/>
    <w:rPr>
      <w:rFonts w:ascii="Arial" w:hAnsi="Arial"/>
    </w:rPr>
  </w:style>
  <w:style w:type="character" w:customStyle="1" w:styleId="markedcontent">
    <w:name w:val="markedcontent"/>
    <w:basedOn w:val="Domylnaczcionkaakapitu"/>
    <w:rsid w:val="00B77FFD"/>
  </w:style>
  <w:style w:type="paragraph" w:customStyle="1" w:styleId="TekstpismaMFodstep12">
    <w:name w:val="Tekst pisma MF odstep 12"/>
    <w:basedOn w:val="Normalny"/>
    <w:rsid w:val="00A45C28"/>
    <w:pPr>
      <w:spacing w:before="240" w:line="260" w:lineRule="exact"/>
    </w:pPr>
    <w:rPr>
      <w:rFonts w:ascii="Lato" w:hAnsi="Lato"/>
    </w:rPr>
  </w:style>
  <w:style w:type="character" w:customStyle="1" w:styleId="Nierozpoznanawzmianka3">
    <w:name w:val="Nierozpoznana wzmianka3"/>
    <w:basedOn w:val="Domylnaczcionkaakapitu"/>
    <w:uiPriority w:val="99"/>
    <w:semiHidden/>
    <w:unhideWhenUsed/>
    <w:rsid w:val="00AE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57330">
      <w:bodyDiv w:val="1"/>
      <w:marLeft w:val="0"/>
      <w:marRight w:val="0"/>
      <w:marTop w:val="0"/>
      <w:marBottom w:val="0"/>
      <w:divBdr>
        <w:top w:val="none" w:sz="0" w:space="0" w:color="auto"/>
        <w:left w:val="none" w:sz="0" w:space="0" w:color="auto"/>
        <w:bottom w:val="none" w:sz="0" w:space="0" w:color="auto"/>
        <w:right w:val="none" w:sz="0" w:space="0" w:color="auto"/>
      </w:divBdr>
    </w:div>
    <w:div w:id="737285964">
      <w:bodyDiv w:val="1"/>
      <w:marLeft w:val="0"/>
      <w:marRight w:val="0"/>
      <w:marTop w:val="0"/>
      <w:marBottom w:val="0"/>
      <w:divBdr>
        <w:top w:val="none" w:sz="0" w:space="0" w:color="auto"/>
        <w:left w:val="none" w:sz="0" w:space="0" w:color="auto"/>
        <w:bottom w:val="none" w:sz="0" w:space="0" w:color="auto"/>
        <w:right w:val="none" w:sz="0" w:space="0" w:color="auto"/>
      </w:divBdr>
    </w:div>
    <w:div w:id="833838680">
      <w:bodyDiv w:val="1"/>
      <w:marLeft w:val="0"/>
      <w:marRight w:val="0"/>
      <w:marTop w:val="0"/>
      <w:marBottom w:val="0"/>
      <w:divBdr>
        <w:top w:val="none" w:sz="0" w:space="0" w:color="auto"/>
        <w:left w:val="none" w:sz="0" w:space="0" w:color="auto"/>
        <w:bottom w:val="none" w:sz="0" w:space="0" w:color="auto"/>
        <w:right w:val="none" w:sz="0" w:space="0" w:color="auto"/>
      </w:divBdr>
    </w:div>
    <w:div w:id="1125387697">
      <w:bodyDiv w:val="1"/>
      <w:marLeft w:val="0"/>
      <w:marRight w:val="0"/>
      <w:marTop w:val="0"/>
      <w:marBottom w:val="0"/>
      <w:divBdr>
        <w:top w:val="none" w:sz="0" w:space="0" w:color="auto"/>
        <w:left w:val="none" w:sz="0" w:space="0" w:color="auto"/>
        <w:bottom w:val="none" w:sz="0" w:space="0" w:color="auto"/>
        <w:right w:val="none" w:sz="0" w:space="0" w:color="auto"/>
      </w:divBdr>
    </w:div>
    <w:div w:id="1233809913">
      <w:bodyDiv w:val="1"/>
      <w:marLeft w:val="0"/>
      <w:marRight w:val="0"/>
      <w:marTop w:val="0"/>
      <w:marBottom w:val="0"/>
      <w:divBdr>
        <w:top w:val="none" w:sz="0" w:space="0" w:color="auto"/>
        <w:left w:val="none" w:sz="0" w:space="0" w:color="auto"/>
        <w:bottom w:val="none" w:sz="0" w:space="0" w:color="auto"/>
        <w:right w:val="none" w:sz="0" w:space="0" w:color="auto"/>
      </w:divBdr>
    </w:div>
    <w:div w:id="1272740404">
      <w:bodyDiv w:val="1"/>
      <w:marLeft w:val="0"/>
      <w:marRight w:val="0"/>
      <w:marTop w:val="0"/>
      <w:marBottom w:val="0"/>
      <w:divBdr>
        <w:top w:val="none" w:sz="0" w:space="0" w:color="auto"/>
        <w:left w:val="none" w:sz="0" w:space="0" w:color="auto"/>
        <w:bottom w:val="none" w:sz="0" w:space="0" w:color="auto"/>
        <w:right w:val="none" w:sz="0" w:space="0" w:color="auto"/>
      </w:divBdr>
    </w:div>
    <w:div w:id="1288201086">
      <w:bodyDiv w:val="1"/>
      <w:marLeft w:val="0"/>
      <w:marRight w:val="0"/>
      <w:marTop w:val="0"/>
      <w:marBottom w:val="0"/>
      <w:divBdr>
        <w:top w:val="none" w:sz="0" w:space="0" w:color="auto"/>
        <w:left w:val="none" w:sz="0" w:space="0" w:color="auto"/>
        <w:bottom w:val="none" w:sz="0" w:space="0" w:color="auto"/>
        <w:right w:val="none" w:sz="0" w:space="0" w:color="auto"/>
      </w:divBdr>
    </w:div>
    <w:div w:id="1427308731">
      <w:bodyDiv w:val="1"/>
      <w:marLeft w:val="0"/>
      <w:marRight w:val="0"/>
      <w:marTop w:val="0"/>
      <w:marBottom w:val="0"/>
      <w:divBdr>
        <w:top w:val="none" w:sz="0" w:space="0" w:color="auto"/>
        <w:left w:val="none" w:sz="0" w:space="0" w:color="auto"/>
        <w:bottom w:val="none" w:sz="0" w:space="0" w:color="auto"/>
        <w:right w:val="none" w:sz="0" w:space="0" w:color="auto"/>
      </w:divBdr>
    </w:div>
    <w:div w:id="1429160944">
      <w:bodyDiv w:val="1"/>
      <w:marLeft w:val="0"/>
      <w:marRight w:val="0"/>
      <w:marTop w:val="0"/>
      <w:marBottom w:val="0"/>
      <w:divBdr>
        <w:top w:val="none" w:sz="0" w:space="0" w:color="auto"/>
        <w:left w:val="none" w:sz="0" w:space="0" w:color="auto"/>
        <w:bottom w:val="none" w:sz="0" w:space="0" w:color="auto"/>
        <w:right w:val="none" w:sz="0" w:space="0" w:color="auto"/>
      </w:divBdr>
    </w:div>
    <w:div w:id="1499035758">
      <w:bodyDiv w:val="1"/>
      <w:marLeft w:val="0"/>
      <w:marRight w:val="0"/>
      <w:marTop w:val="0"/>
      <w:marBottom w:val="0"/>
      <w:divBdr>
        <w:top w:val="none" w:sz="0" w:space="0" w:color="auto"/>
        <w:left w:val="none" w:sz="0" w:space="0" w:color="auto"/>
        <w:bottom w:val="none" w:sz="0" w:space="0" w:color="auto"/>
        <w:right w:val="none" w:sz="0" w:space="0" w:color="auto"/>
      </w:divBdr>
    </w:div>
    <w:div w:id="1954434343">
      <w:bodyDiv w:val="1"/>
      <w:marLeft w:val="0"/>
      <w:marRight w:val="0"/>
      <w:marTop w:val="0"/>
      <w:marBottom w:val="0"/>
      <w:divBdr>
        <w:top w:val="none" w:sz="0" w:space="0" w:color="auto"/>
        <w:left w:val="none" w:sz="0" w:space="0" w:color="auto"/>
        <w:bottom w:val="none" w:sz="0" w:space="0" w:color="auto"/>
        <w:right w:val="none" w:sz="0" w:space="0" w:color="auto"/>
      </w:divBdr>
    </w:div>
    <w:div w:id="2081903947">
      <w:bodyDiv w:val="1"/>
      <w:marLeft w:val="0"/>
      <w:marRight w:val="0"/>
      <w:marTop w:val="0"/>
      <w:marBottom w:val="0"/>
      <w:divBdr>
        <w:top w:val="none" w:sz="0" w:space="0" w:color="auto"/>
        <w:left w:val="none" w:sz="0" w:space="0" w:color="auto"/>
        <w:bottom w:val="none" w:sz="0" w:space="0" w:color="auto"/>
        <w:right w:val="none" w:sz="0" w:space="0" w:color="auto"/>
      </w:divBdr>
    </w:div>
    <w:div w:id="2117670515">
      <w:bodyDiv w:val="1"/>
      <w:marLeft w:val="0"/>
      <w:marRight w:val="0"/>
      <w:marTop w:val="0"/>
      <w:marBottom w:val="0"/>
      <w:divBdr>
        <w:top w:val="none" w:sz="0" w:space="0" w:color="auto"/>
        <w:left w:val="none" w:sz="0" w:space="0" w:color="auto"/>
        <w:bottom w:val="none" w:sz="0" w:space="0" w:color="auto"/>
        <w:right w:val="none" w:sz="0" w:space="0" w:color="auto"/>
      </w:divBdr>
    </w:div>
    <w:div w:id="21397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C@mf.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ICS2@mf.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esc.gov.pl/uslugi/uslugi-sieciowe-informacje-i-specyfikacje/system-ais" TargetMode="External"/><Relationship Id="rId4" Type="http://schemas.openxmlformats.org/officeDocument/2006/relationships/settings" Target="settings.xml"/><Relationship Id="rId9" Type="http://schemas.openxmlformats.org/officeDocument/2006/relationships/hyperlink" Target="https://circabc.europa.eu/ui/group/617eb8f3-5946-4fe5-a01f-42974a83b29c/library/56f96b30-cfbf-4d8c-b1f9-ccd63de7f63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SZJ\Documents\2021%20III%20IV%20KWARTA&#321;\ZESP&#211;&#321;%20REDAKCYJNY%20PUESC\NEWSLETTERY\2021%2011%2017%20Newsletter%20nr%20x.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CDAB-4BE2-4F6D-B05F-D10BCCB5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11 17 Newsletter nr x.dotx</Template>
  <TotalTime>4</TotalTime>
  <Pages>4</Pages>
  <Words>1141</Words>
  <Characters>6847</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Newsletter nr Z/35/2022</vt:lpstr>
    </vt:vector>
  </TitlesOfParts>
  <Company>Izba Administracji Skarbowej</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nr Z/35/2022</dc:title>
  <dc:subject>Temat newsletera</dc:subject>
  <dc:creator>-</dc:creator>
  <cp:keywords>Newsletter</cp:keywords>
  <cp:lastModifiedBy>Damentko Monika</cp:lastModifiedBy>
  <cp:revision>4</cp:revision>
  <cp:lastPrinted>2022-06-07T08:58:00Z</cp:lastPrinted>
  <dcterms:created xsi:type="dcterms:W3CDTF">2024-05-02T10:57:00Z</dcterms:created>
  <dcterms:modified xsi:type="dcterms:W3CDTF">2024-05-02T11:03:00Z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UxC4dwLulzfINJ8nQH+xvX5LNGipWa4BRSZhPgxsCvnyU/IHmA8Z9qa1JRQ9Y77jqqzgRVnuUpWwAinV016hCA==</vt:lpwstr>
  </property>
  <property fmtid="{D5CDD505-2E9C-101B-9397-08002B2CF9AE}" pid="4" name="MFClassificationDate">
    <vt:lpwstr>2021-12-29T14:24:42.6631082+01:00</vt:lpwstr>
  </property>
  <property fmtid="{D5CDD505-2E9C-101B-9397-08002B2CF9AE}" pid="5" name="MFClassifiedBySID">
    <vt:lpwstr>UxC4dwLulzfINJ8nQH+xvX5LNGipWa4BRSZhPgxsCvm42mrIC/DSDv0ggS+FjUN/2v1BBotkLlY5aAiEhoi6ub5on8ifJsTDB+v/T2Uz67m2YO3Fwp6RJWWRCRYMnlDk</vt:lpwstr>
  </property>
  <property fmtid="{D5CDD505-2E9C-101B-9397-08002B2CF9AE}" pid="6" name="MFGRNItemId">
    <vt:lpwstr>GRN-21a3285e-434a-4a11-822c-83a807cf52a6</vt:lpwstr>
  </property>
  <property fmtid="{D5CDD505-2E9C-101B-9397-08002B2CF9AE}" pid="7" name="MFHash">
    <vt:lpwstr>TOfdQ2kNu2BgftffLCzBCIFe2xs14hPmteUhFmpQ2Kw=</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