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8198" w14:textId="33273AAC" w:rsidR="0068149A" w:rsidRPr="009263CB" w:rsidRDefault="0068149A" w:rsidP="009263CB">
      <w:pPr>
        <w:pStyle w:val="Nagwek1"/>
        <w:jc w:val="center"/>
        <w:rPr>
          <w:rFonts w:asciiTheme="minorHAnsi" w:hAnsiTheme="minorHAnsi" w:cstheme="minorHAnsi"/>
        </w:rPr>
      </w:pPr>
      <w:r w:rsidRPr="009263CB">
        <w:rPr>
          <w:rFonts w:asciiTheme="minorHAnsi" w:hAnsiTheme="minorHAnsi" w:cstheme="minorHAnsi"/>
        </w:rPr>
        <w:t>Formularz uwag do specyfikacji publicznej AES</w:t>
      </w:r>
    </w:p>
    <w:p w14:paraId="12D115D9" w14:textId="604392E5" w:rsidR="004A3BD4" w:rsidRPr="009263CB" w:rsidRDefault="0068149A" w:rsidP="009263CB">
      <w:pPr>
        <w:spacing w:line="271" w:lineRule="auto"/>
        <w:jc w:val="center"/>
        <w:rPr>
          <w:rFonts w:asciiTheme="minorHAnsi" w:hAnsiTheme="minorHAnsi" w:cstheme="minorHAnsi"/>
        </w:rPr>
      </w:pPr>
      <w:r w:rsidRPr="009263CB">
        <w:rPr>
          <w:rFonts w:asciiTheme="minorHAnsi" w:hAnsiTheme="minorHAnsi" w:cstheme="minorHAnsi"/>
        </w:rPr>
        <w:t xml:space="preserve">Uwagi powinny być przesyłane na adres: </w:t>
      </w:r>
      <w:hyperlink r:id="rId8" w:history="1">
        <w:r w:rsidR="009263CB" w:rsidRPr="009263CB">
          <w:rPr>
            <w:rStyle w:val="Hipercze"/>
            <w:rFonts w:asciiTheme="minorHAnsi" w:hAnsiTheme="minorHAnsi" w:cstheme="minorHAnsi"/>
          </w:rPr>
          <w:t>pytania.AESAIS@kra.mofnet.gov.pl</w:t>
        </w:r>
      </w:hyperlink>
    </w:p>
    <w:tbl>
      <w:tblPr>
        <w:tblW w:w="4711" w:type="pct"/>
        <w:tblLayout w:type="fixed"/>
        <w:tblLook w:val="0620" w:firstRow="1" w:lastRow="0" w:firstColumn="0" w:lastColumn="0" w:noHBand="1" w:noVBand="1"/>
      </w:tblPr>
      <w:tblGrid>
        <w:gridCol w:w="552"/>
        <w:gridCol w:w="1397"/>
        <w:gridCol w:w="3002"/>
        <w:gridCol w:w="3568"/>
      </w:tblGrid>
      <w:tr w:rsidR="0068149A" w:rsidRPr="009263CB" w14:paraId="6F55A3EB" w14:textId="77777777" w:rsidTr="00222D52">
        <w:trPr>
          <w:cantSplit/>
          <w:tblHeader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B2CEB" w14:textId="77777777" w:rsidR="0068149A" w:rsidRPr="009263CB" w:rsidRDefault="0068149A" w:rsidP="00E7409C">
            <w:pPr>
              <w:pStyle w:val="Base"/>
              <w:spacing w:line="271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7099D" w14:textId="77777777" w:rsidR="0068149A" w:rsidRPr="009263CB" w:rsidRDefault="0068149A" w:rsidP="00E7409C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263CB">
              <w:rPr>
                <w:rFonts w:asciiTheme="minorHAnsi" w:hAnsiTheme="minorHAnsi" w:cstheme="minorHAnsi"/>
                <w:b/>
              </w:rPr>
              <w:t>Umiejscowienie w dokumencie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8A87F" w14:textId="77777777" w:rsidR="0068149A" w:rsidRPr="009263CB" w:rsidRDefault="0068149A" w:rsidP="00E7409C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263CB">
              <w:rPr>
                <w:rFonts w:asciiTheme="minorHAnsi" w:hAnsiTheme="minorHAnsi" w:cstheme="minorHAnsi"/>
                <w:b/>
              </w:rPr>
              <w:t>Treść uwagi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4EF86" w14:textId="77777777" w:rsidR="0068149A" w:rsidRPr="009263CB" w:rsidRDefault="0068149A" w:rsidP="00E7409C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263CB">
              <w:rPr>
                <w:rFonts w:asciiTheme="minorHAnsi" w:hAnsiTheme="minorHAnsi" w:cstheme="minorHAnsi"/>
                <w:b/>
              </w:rPr>
              <w:t>Odpowiedź ZP AES</w:t>
            </w:r>
          </w:p>
        </w:tc>
      </w:tr>
      <w:tr w:rsidR="0068149A" w:rsidRPr="009263CB" w14:paraId="79678A98" w14:textId="77777777" w:rsidTr="00222D52">
        <w:trPr>
          <w:cantSplit/>
          <w:trHeight w:val="120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7E7012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4C90" w14:textId="079CC952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Struktura komunikatów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C0AFA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Czy w związku z nową specyfikacją nie jest planowana obiecywana od długiego czasu zmiana długości pola </w:t>
            </w:r>
            <w:proofErr w:type="spellStart"/>
            <w:r w:rsidRPr="009263CB">
              <w:rPr>
                <w:rFonts w:asciiTheme="minorHAnsi" w:hAnsiTheme="minorHAnsi" w:cstheme="minorHAnsi"/>
              </w:rPr>
              <w:t>OpisTowaru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z 280 znaków np. do 1000 znaków jak obecnie w systemie Celina, oraz zmiana krotności </w:t>
            </w:r>
            <w:proofErr w:type="spellStart"/>
            <w:r w:rsidRPr="009263CB">
              <w:rPr>
                <w:rFonts w:asciiTheme="minorHAnsi" w:hAnsiTheme="minorHAnsi" w:cstheme="minorHAnsi"/>
              </w:rPr>
              <w:t>DokumentPoprzedni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z 9 do 99 – mamy sygnały od klientów, że ograniczenia te, stanowią dla nich problem.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DEA6B" w14:textId="24E40E1B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Zmiana długości pola </w:t>
            </w:r>
            <w:proofErr w:type="spellStart"/>
            <w:r w:rsidRPr="009263CB">
              <w:rPr>
                <w:rFonts w:asciiTheme="minorHAnsi" w:hAnsiTheme="minorHAnsi" w:cstheme="minorHAnsi"/>
                <w:i/>
              </w:rPr>
              <w:t>OpisTowaru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 w systemie ECS i AES uzależniona jest  od warunków zewnętrznych tj. zmiany obecnych specyfikacji funkcjonalnych oraz  technicznych dla systemów  tworzonych w DGTAXUD. Obecny standard wymiany komunikatów pomiędzy poszczególnymi krajami dopuszcza format dla w/w atrybutu, an..280. Zmiana formatu, w tym przypadku zwiększenie ilości znaków może skutkować tym, że dane ze zgłoszeń wywozowych przekazywane z polskich urzędów do innych krajów będą odrzucane przez aplikacje krajów UE.</w:t>
            </w:r>
          </w:p>
          <w:p w14:paraId="04C6DD4C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W przypadku elementu </w:t>
            </w:r>
            <w:proofErr w:type="spellStart"/>
            <w:r w:rsidRPr="009263CB">
              <w:rPr>
                <w:rFonts w:asciiTheme="minorHAnsi" w:hAnsiTheme="minorHAnsi" w:cstheme="minorHAnsi"/>
                <w:i/>
              </w:rPr>
              <w:t>DokumentPoprzedni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 jest  podobna sytuacja, zwiększenie jego krotności może przynieść ten sam efekt co w poprzednim przypadku. Proponowanym  rozwiązaniem ,,obejścia” tego ograniczenia może być skorzystanie w komunikatach z elementu </w:t>
            </w:r>
            <w:proofErr w:type="spellStart"/>
            <w:r w:rsidRPr="009263CB">
              <w:rPr>
                <w:rFonts w:asciiTheme="minorHAnsi" w:hAnsiTheme="minorHAnsi" w:cstheme="minorHAnsi"/>
                <w:i/>
              </w:rPr>
              <w:t>DokumentPoprzedniProcGosp</w:t>
            </w:r>
            <w:proofErr w:type="spellEnd"/>
            <w:r w:rsidRPr="009263CB">
              <w:rPr>
                <w:rFonts w:asciiTheme="minorHAnsi" w:hAnsiTheme="minorHAnsi" w:cstheme="minorHAnsi"/>
              </w:rPr>
              <w:t>.</w:t>
            </w:r>
          </w:p>
          <w:p w14:paraId="5C245897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  <w:tr w:rsidR="0068149A" w:rsidRPr="009263CB" w14:paraId="1C118B27" w14:textId="77777777" w:rsidTr="00222D52">
        <w:trPr>
          <w:cantSplit/>
          <w:trHeight w:val="51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CDF15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F7D3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E59A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Praktycznie wszystkie definicje przestrzeni nazw dla komunikatów AES są identyczne jak dla poprzednich wersji specyfikacji systemu ECS np. </w:t>
            </w:r>
            <w:hyperlink r:id="rId9" w:history="1">
              <w:r w:rsidRPr="009263CB">
                <w:rPr>
                  <w:rStyle w:val="Hipercze"/>
                  <w:rFonts w:asciiTheme="minorHAnsi" w:hAnsiTheme="minorHAnsi" w:cstheme="minorHAnsi"/>
                  <w:b/>
                  <w:bCs/>
                </w:rPr>
                <w:t>http://www.mf.gov.pl/xsd/ECS/IE515_v1-0.xsd</w:t>
              </w:r>
            </w:hyperlink>
            <w:r w:rsidRPr="009263CB">
              <w:rPr>
                <w:rFonts w:asciiTheme="minorHAnsi" w:hAnsiTheme="minorHAnsi" w:cstheme="minorHAnsi"/>
                <w:bCs/>
                <w:color w:val="FF0000"/>
              </w:rPr>
              <w:br/>
            </w:r>
            <w:r w:rsidRPr="009263CB">
              <w:rPr>
                <w:rFonts w:asciiTheme="minorHAnsi" w:hAnsiTheme="minorHAnsi" w:cstheme="minorHAnsi"/>
              </w:rPr>
              <w:t>Czy oznacza to, że struktura komunikatów jest identyczna jak w poprzednich specyfikacjach 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1589E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W trakcie analizy.</w:t>
            </w:r>
          </w:p>
        </w:tc>
      </w:tr>
      <w:tr w:rsidR="0068149A" w:rsidRPr="009263CB" w14:paraId="303AC957" w14:textId="77777777" w:rsidTr="00222D52">
        <w:trPr>
          <w:cantSplit/>
          <w:trHeight w:val="51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14246B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011F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603D0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eastAsia="Calibri" w:hAnsiTheme="minorHAnsi" w:cstheme="minorHAnsi"/>
              </w:rPr>
              <w:t>Czy dla systemów AIS/AES istnieje historia zmian w stosunku do poprzednich wersji specyfikacji?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D1E9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Historia zmian jest opracowywana.</w:t>
            </w:r>
          </w:p>
        </w:tc>
      </w:tr>
      <w:tr w:rsidR="0068149A" w:rsidRPr="009263CB" w14:paraId="4A0C1A27" w14:textId="77777777" w:rsidTr="00222D52">
        <w:trPr>
          <w:cantSplit/>
          <w:trHeight w:val="51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4AE3A6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375E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Cały dokument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4BF62" w14:textId="77777777" w:rsidR="0068149A" w:rsidRPr="009263CB" w:rsidRDefault="0068149A" w:rsidP="00E7409C">
            <w:pPr>
              <w:spacing w:line="271" w:lineRule="auto"/>
              <w:rPr>
                <w:rFonts w:asciiTheme="minorHAnsi" w:eastAsia="Calibri" w:hAnsiTheme="minorHAnsi" w:cstheme="minorHAnsi"/>
              </w:rPr>
            </w:pPr>
            <w:r w:rsidRPr="009263CB">
              <w:rPr>
                <w:rFonts w:asciiTheme="minorHAnsi" w:eastAsia="Calibri" w:hAnsiTheme="minorHAnsi" w:cstheme="minorHAnsi"/>
              </w:rPr>
              <w:t>Czy planowany jest okres przejściowy, w którym będą obowiązywały obie specyfikacje?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EC8DA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</w:rPr>
              <w:t>Nie jest planowane równoczesne obowiązywanie specyfikacji komunikatów XML dla ECS2 i AES.</w:t>
            </w:r>
            <w:r w:rsidRPr="009263CB">
              <w:rPr>
                <w:rFonts w:asciiTheme="minorHAnsi" w:eastAsia="Times New Roman" w:hAnsiTheme="minorHAnsi" w:cstheme="minorHAnsi"/>
              </w:rPr>
              <w:br/>
            </w:r>
          </w:p>
        </w:tc>
      </w:tr>
      <w:tr w:rsidR="0068149A" w:rsidRPr="009263CB" w14:paraId="7C2865E9" w14:textId="77777777" w:rsidTr="00222D52">
        <w:trPr>
          <w:cantSplit/>
          <w:trHeight w:val="51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542488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517F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531AE" w14:textId="77777777" w:rsidR="0068149A" w:rsidRPr="009263CB" w:rsidRDefault="0068149A" w:rsidP="00E7409C">
            <w:pPr>
              <w:spacing w:line="271" w:lineRule="auto"/>
              <w:rPr>
                <w:rFonts w:asciiTheme="minorHAnsi" w:eastAsia="Calibri" w:hAnsiTheme="minorHAnsi" w:cstheme="minorHAnsi"/>
              </w:rPr>
            </w:pPr>
            <w:r w:rsidRPr="009263CB">
              <w:rPr>
                <w:rFonts w:asciiTheme="minorHAnsi" w:eastAsia="Calibri" w:hAnsiTheme="minorHAnsi" w:cstheme="minorHAnsi"/>
              </w:rPr>
              <w:t>Czy dostępna będzie aplikacja testowa dla firm przygotowujących oprogramowanie dla podmiotów?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FB10E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</w:rPr>
              <w:t>Do końca września 2014 r. zostaną opublikowane zasady korzystania z aplikacji testowych systemów operacyjnych.</w:t>
            </w:r>
          </w:p>
        </w:tc>
      </w:tr>
      <w:tr w:rsidR="0068149A" w:rsidRPr="009263CB" w14:paraId="70BBAFEB" w14:textId="77777777" w:rsidTr="00222D52">
        <w:trPr>
          <w:cantSplit/>
          <w:trHeight w:val="51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DA975A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2D57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Cały dokument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12DAE" w14:textId="77777777" w:rsidR="0068149A" w:rsidRPr="009263CB" w:rsidRDefault="0068149A" w:rsidP="00E7409C">
            <w:pPr>
              <w:spacing w:line="271" w:lineRule="auto"/>
              <w:rPr>
                <w:rFonts w:asciiTheme="minorHAnsi" w:eastAsia="Calibri" w:hAnsiTheme="minorHAnsi" w:cstheme="minorHAnsi"/>
              </w:rPr>
            </w:pPr>
            <w:r w:rsidRPr="009263CB">
              <w:rPr>
                <w:rFonts w:asciiTheme="minorHAnsi" w:eastAsia="Calibri" w:hAnsiTheme="minorHAnsi" w:cstheme="minorHAnsi"/>
              </w:rPr>
              <w:t>Jaki jest obecny harmonogram wprowadzania nowej wersji specyfikacji?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26C8F" w14:textId="60AC6C5B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</w:rPr>
              <w:t xml:space="preserve">Zakłada się iż specyfikacja  będzie obowiązywała najwcześniej z początkiem roku 2015, dokładne terminy będą publikowane na stronie </w:t>
            </w:r>
            <w:hyperlink r:id="rId10" w:history="1">
              <w:r w:rsidR="000F357A">
                <w:rPr>
                  <w:rStyle w:val="Hipercze"/>
                  <w:rFonts w:asciiTheme="minorHAnsi" w:eastAsia="Times New Roman" w:hAnsiTheme="minorHAnsi" w:cstheme="minorHAnsi"/>
                </w:rPr>
                <w:t>e-cło</w:t>
              </w:r>
            </w:hyperlink>
            <w:r w:rsidR="000F357A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68149A" w:rsidRPr="009263CB" w14:paraId="381548F6" w14:textId="77777777" w:rsidTr="00222D52">
        <w:trPr>
          <w:cantSplit/>
          <w:trHeight w:val="510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8C1E1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CA27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Cały dokument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F0CA7" w14:textId="77777777" w:rsidR="009263CB" w:rsidRDefault="0068149A" w:rsidP="00E7409C">
            <w:pPr>
              <w:spacing w:line="271" w:lineRule="auto"/>
              <w:rPr>
                <w:rFonts w:asciiTheme="minorHAnsi" w:eastAsia="Calibri" w:hAnsiTheme="minorHAnsi" w:cstheme="minorHAnsi"/>
              </w:rPr>
            </w:pPr>
            <w:r w:rsidRPr="009263CB">
              <w:rPr>
                <w:rFonts w:asciiTheme="minorHAnsi" w:eastAsia="Calibri" w:hAnsiTheme="minorHAnsi" w:cstheme="minorHAnsi"/>
              </w:rPr>
              <w:t>1.</w:t>
            </w:r>
            <w:r w:rsidRPr="009263CB">
              <w:rPr>
                <w:rFonts w:asciiTheme="minorHAnsi" w:eastAsia="Calibri" w:hAnsiTheme="minorHAnsi" w:cstheme="minorHAnsi"/>
              </w:rPr>
              <w:tab/>
              <w:t>Czy przewiduje się publikacje specyfikacji w języku angielskim jednocześnie z wersjami polskimi.</w:t>
            </w:r>
          </w:p>
          <w:p w14:paraId="1809FAB7" w14:textId="0E3C32A1" w:rsidR="0068149A" w:rsidRPr="009263CB" w:rsidRDefault="0068149A" w:rsidP="00E7409C">
            <w:pPr>
              <w:spacing w:line="271" w:lineRule="auto"/>
              <w:rPr>
                <w:rFonts w:asciiTheme="minorHAnsi" w:eastAsia="Calibri" w:hAnsiTheme="minorHAnsi" w:cstheme="minorHAnsi"/>
              </w:rPr>
            </w:pPr>
            <w:r w:rsidRPr="009263CB">
              <w:rPr>
                <w:rFonts w:asciiTheme="minorHAnsi" w:eastAsia="Calibri" w:hAnsiTheme="minorHAnsi" w:cstheme="minorHAnsi"/>
              </w:rPr>
              <w:t>2.</w:t>
            </w:r>
            <w:r w:rsidRPr="009263CB">
              <w:rPr>
                <w:rFonts w:asciiTheme="minorHAnsi" w:eastAsia="Calibri" w:hAnsiTheme="minorHAnsi" w:cstheme="minorHAnsi"/>
              </w:rPr>
              <w:tab/>
              <w:t>Specyfikacja i aktualizacje powinny być publikowane w tym samym czasie co wersje polskie. W przeciwnym razie zmniejsza się ilość czasu na aktualizacje.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3F900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</w:rPr>
              <w:t>Specyfikacja XML w wersji angielskiej będzie opublikowana na przełomie roku 2014/2015.</w:t>
            </w:r>
          </w:p>
          <w:p w14:paraId="31D44985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68149A" w:rsidRPr="009263CB" w14:paraId="1711117F" w14:textId="77777777" w:rsidTr="00222D52">
        <w:trPr>
          <w:cantSplit/>
          <w:trHeight w:val="5325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CD073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7F67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Cały dokument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257207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w związku z przesuniętym startem NCTS2 i ECIP/SEAP są planowane zmiany terminów dotyczących wprowadzenia AES (ECS2)?</w:t>
            </w:r>
          </w:p>
          <w:p w14:paraId="019447B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jest znana data włączenia systemu testowego, jeśli tak to kiedy?</w:t>
            </w:r>
          </w:p>
          <w:p w14:paraId="308F2047" w14:textId="3CEE71AD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  <w:i/>
              </w:rPr>
              <w:t xml:space="preserve">„Zakłada się iż specyfikacja  będzie obowiązywała najwcześniej z początkiem roku 2015, dokładne terminy będą publikowane na stronie </w:t>
            </w:r>
            <w:hyperlink r:id="rId11" w:history="1">
              <w:r w:rsidR="006907F0" w:rsidRPr="006907F0">
                <w:rPr>
                  <w:rStyle w:val="Hipercze"/>
                  <w:rFonts w:asciiTheme="minorHAnsi" w:hAnsiTheme="minorHAnsi" w:cstheme="minorHAnsi"/>
                  <w:i/>
                </w:rPr>
                <w:t>e-cło</w:t>
              </w:r>
            </w:hyperlink>
            <w:r w:rsidRPr="009263CB">
              <w:rPr>
                <w:rFonts w:asciiTheme="minorHAnsi" w:hAnsiTheme="minorHAnsi" w:cstheme="minorHAnsi"/>
                <w:i/>
              </w:rPr>
              <w:t>”</w:t>
            </w:r>
            <w:r w:rsidRPr="009263CB">
              <w:rPr>
                <w:rFonts w:asciiTheme="minorHAnsi" w:hAnsiTheme="minorHAnsi" w:cstheme="minorHAnsi"/>
              </w:rPr>
              <w:t xml:space="preserve"> chciałbym tylko uświadomić Państwa, że instalacje oprogramowania u Naszych klientów też mają swoje procedury. Potrzebny jest system testowy, potem</w:t>
            </w:r>
            <w:bookmarkStart w:id="0" w:name="_GoBack"/>
            <w:bookmarkEnd w:id="0"/>
            <w:r w:rsidRPr="009263CB">
              <w:rPr>
                <w:rFonts w:asciiTheme="minorHAnsi" w:hAnsiTheme="minorHAnsi" w:cstheme="minorHAnsi"/>
              </w:rPr>
              <w:t xml:space="preserve"> 4-5 tygodniowy slot dla testów i potem instalacja produkcyjna. Większe korporacje maja wyższe wymagania czasowe. Bardzo bym prosił o dokładniejsze informacje na temat planowanych zmian.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60880" w14:textId="318E5D0F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Aktualna odpowiedź znajduję się na stronie </w:t>
            </w:r>
            <w:hyperlink r:id="rId12" w:anchor="p_p_id_101_INSTANCE_IH0g_" w:history="1">
              <w:r w:rsidR="000F357A">
                <w:rPr>
                  <w:rStyle w:val="Hipercze"/>
                  <w:rFonts w:asciiTheme="minorHAnsi" w:eastAsia="Times New Roman" w:hAnsiTheme="minorHAnsi" w:cstheme="minorHAnsi"/>
                  <w:bCs/>
                  <w:lang w:eastAsia="pl-PL"/>
                </w:rPr>
                <w:t>e-cło</w:t>
              </w:r>
            </w:hyperlink>
            <w:r w:rsidR="000F357A">
              <w:rPr>
                <w:rFonts w:asciiTheme="minorHAnsi" w:eastAsia="Times New Roman" w:hAnsiTheme="minorHAnsi" w:cstheme="minorHAnsi"/>
                <w:bCs/>
                <w:lang w:eastAsia="pl-PL"/>
              </w:rPr>
              <w:t>.</w:t>
            </w:r>
          </w:p>
        </w:tc>
      </w:tr>
      <w:tr w:rsidR="0068149A" w:rsidRPr="009263CB" w14:paraId="42BF6B55" w14:textId="77777777" w:rsidTr="00222D52">
        <w:trPr>
          <w:cantSplit/>
          <w:trHeight w:val="234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90218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F4BD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IE515/</w:t>
            </w:r>
            <w:proofErr w:type="spellStart"/>
            <w:r w:rsidRPr="009263CB">
              <w:rPr>
                <w:rFonts w:asciiTheme="minorHAnsi" w:hAnsiTheme="minorHAnsi" w:cstheme="minorHAnsi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</w:rPr>
              <w:t>/</w:t>
            </w:r>
            <w:proofErr w:type="spellStart"/>
            <w:r w:rsidRPr="009263CB">
              <w:rPr>
                <w:rFonts w:asciiTheme="minorHAnsi" w:hAnsiTheme="minorHAnsi" w:cstheme="minorHAnsi"/>
              </w:rPr>
              <w:t>Przedstawiajacy</w:t>
            </w:r>
            <w:proofErr w:type="spellEnd"/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6BBF8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Zgodnie ze Specyfikacją XML przy elemencie głównym podano liczebność 0..1 i brak innych reguł. Proszę o informację kiedy, w jakich sytuacjach, pod jakimi warunkami element ma być podany w komunikacie 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E5F39B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</w:rPr>
              <w:t>,,Przedstawiający” to Podmiot dysponujący towarami zadeklarowanymi na zgłoszeniu wywozowym w urzędzie celnym przedstawienia. Jego dane mogą być zadeklarowane  na zgłoszeniu wywozowym  w przypadku zgłoszenia towaru  w procedurze uproszczonej, kiedy ma miejsce odprawa scentralizowana. Towary zlokalizowane są wtedy poza urzędem celnym wywozu.</w:t>
            </w:r>
          </w:p>
        </w:tc>
      </w:tr>
      <w:tr w:rsidR="0068149A" w:rsidRPr="009263CB" w14:paraId="327893F7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5768B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8418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/IE515/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/Towar/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IloscTowaru</w:t>
            </w:r>
            <w:proofErr w:type="spellEnd"/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55F24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W jakich sytuacjach w węźle </w:t>
            </w:r>
            <w:proofErr w:type="spellStart"/>
            <w:r w:rsidRPr="009263CB">
              <w:rPr>
                <w:rFonts w:asciiTheme="minorHAnsi" w:hAnsiTheme="minorHAnsi" w:cstheme="minorHAnsi"/>
              </w:rPr>
              <w:t>IloscTowaru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podaje się odnośnik do dokumentu wymaganego (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PozIdDokumentWymagany</w:t>
            </w:r>
            <w:proofErr w:type="spellEnd"/>
            <w:r w:rsidRPr="009263CB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AFBA6D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Dodanie nowych, wymienionych  atrybutów związane jest z obsługą zgłoszenia wywozowego dla towarów gdy wymagane jest podanie pozwolenia</w:t>
            </w:r>
          </w:p>
          <w:p w14:paraId="26D1F052" w14:textId="2953E211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AGREX (X001), wówczas będzie miało miejsce automatyczne saldowanie pozwoleń AGREX.</w:t>
            </w:r>
          </w:p>
          <w:p w14:paraId="35E30BA8" w14:textId="12147108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W szczególnych przypadkach zachodzi konieczność uzupełnienia danych na zgłoszeniu wywozowym o inne wymagane informacje, które przy obecnej strukturze komunikatu IE515 byłyby niemożliwe  do zadeklarowania.</w:t>
            </w:r>
          </w:p>
          <w:p w14:paraId="3C87D8C0" w14:textId="354104FE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Wymienione atrybuty mają zastosowanie  zwłaszcza w przypadkach deklarowania na jednej pozycji towarowej w zgłoszeniu wywozowym kilku pozwoleń będących przedmiotem saldowania po stronie Agencji Rynku Rolnego.</w:t>
            </w:r>
          </w:p>
          <w:p w14:paraId="4490ACE2" w14:textId="576A2C2A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Atrybut „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PozIDDokumentWymagany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” zlokalizowany w elemencie ,,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”  referuje do numeru wiersza w elemencie  „Dokumenty</w:t>
            </w:r>
            <w:r w:rsidR="009263C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wymagane”, z którym to ma nastąpić powiązanie informacji zadeklarowanej w elemencie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”. W tym przypadku do ilości towaru z konkretnego pozwolenia AGREX.</w:t>
            </w:r>
          </w:p>
          <w:p w14:paraId="6000D796" w14:textId="1F2D236C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Na podstawie zdeklarowanej wartości w polu „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PozIDDokumentWymagany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”, System AES dokona powiązania  pomiędzy dokumentem wymaganym a wartościami w elemencie  „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”.</w:t>
            </w:r>
          </w:p>
          <w:p w14:paraId="1E40A041" w14:textId="0DC31F61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W przypadku, gdy system zidentyfikuje powiązanie pomiędzy </w:t>
            </w: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Dokumentami</w:t>
            </w:r>
            <w:r w:rsidR="009263C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wymaganymi a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, o dane z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uzupełni komunikat przekazywany do Agencji Rynku Rolnego.</w:t>
            </w:r>
          </w:p>
          <w:p w14:paraId="3050994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Przykład:</w:t>
            </w:r>
          </w:p>
          <w:p w14:paraId="1F1442EF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Eksportujemy 300kg cukru brązowego o 80% zawartości cukru białego i używamy obu pozwoleń, element Towar wyglądałby następująco.</w:t>
            </w:r>
          </w:p>
          <w:p w14:paraId="4A8D2F27" w14:textId="1197778D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Mamy pozwolenia o numerach Pozwolenie1 i Pozwolenie2, oba na eksport cukru brązowego o zawartości cukru białego.</w:t>
            </w:r>
          </w:p>
          <w:p w14:paraId="2556B6B3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&lt;Towar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OpisTowaru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="cukier brązowy"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KodTowarowy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="..." ...&gt;</w:t>
            </w:r>
          </w:p>
          <w:p w14:paraId="0AABA81A" w14:textId="36B7E2FD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...</w:t>
            </w:r>
          </w:p>
          <w:p w14:paraId="765CB453" w14:textId="478BE6F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&lt;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PozIdDokumentWymagany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="1"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="80"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Jm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="KGM"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KwalifikatorJm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="S" /&gt;</w:t>
            </w:r>
          </w:p>
          <w:p w14:paraId="5D7ECDE9" w14:textId="5D287083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&lt;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IloscTowaru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PozIdDokumentWymagany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="n"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="160"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Jm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="KGM"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KwalifikatorJm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="S" /&gt;</w:t>
            </w:r>
          </w:p>
          <w:p w14:paraId="64AE43ED" w14:textId="7371492C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...</w:t>
            </w:r>
          </w:p>
          <w:p w14:paraId="0C70C49A" w14:textId="5C11194A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&lt;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DokumentWymagany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PozId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="1" Kod="X001" Nr="Pozwolenie1"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="100"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Jm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="KGM" ... /&gt;</w:t>
            </w:r>
          </w:p>
          <w:p w14:paraId="5D32F1D4" w14:textId="170412E9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... (inne dokumenty wymagane)</w:t>
            </w:r>
          </w:p>
          <w:p w14:paraId="06744077" w14:textId="1256451F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&lt;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DokumentWymagany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PozId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="n" Kod="X001" Nr="Pozwolenie2"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Ilosc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="200"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Jm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="KGM" ... /&gt;</w:t>
            </w:r>
          </w:p>
          <w:p w14:paraId="34D9BEAB" w14:textId="12A66CE3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...</w:t>
            </w:r>
          </w:p>
          <w:p w14:paraId="20746AC2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&lt;/Towar&gt;</w:t>
            </w:r>
          </w:p>
          <w:p w14:paraId="2D3056A4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68149A" w:rsidRPr="009263CB" w14:paraId="5DA76D59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14205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AB1C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/IE515/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/Towar/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DokumentWymagany</w:t>
            </w:r>
            <w:proofErr w:type="spellEnd"/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71D39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W jakich sytuacjach wypełnia się pola  Jednostka miary (</w:t>
            </w:r>
            <w:proofErr w:type="spellStart"/>
            <w:r w:rsidRPr="009263CB">
              <w:rPr>
                <w:rFonts w:asciiTheme="minorHAnsi" w:hAnsiTheme="minorHAnsi" w:cstheme="minorHAnsi"/>
              </w:rPr>
              <w:t>Jm</w:t>
            </w:r>
            <w:proofErr w:type="spellEnd"/>
            <w:r w:rsidRPr="009263CB">
              <w:rPr>
                <w:rFonts w:asciiTheme="minorHAnsi" w:hAnsiTheme="minorHAnsi" w:cstheme="minorHAnsi"/>
              </w:rPr>
              <w:t>) i ilość w podanej jednostce miary (</w:t>
            </w:r>
            <w:proofErr w:type="spellStart"/>
            <w:r w:rsidRPr="009263CB">
              <w:rPr>
                <w:rFonts w:asciiTheme="minorHAnsi" w:hAnsiTheme="minorHAnsi" w:cstheme="minorHAnsi"/>
              </w:rPr>
              <w:t>Ilosc</w:t>
            </w:r>
            <w:proofErr w:type="spellEnd"/>
            <w:r w:rsidRPr="009263CB">
              <w:rPr>
                <w:rFonts w:asciiTheme="minorHAnsi" w:hAnsiTheme="minorHAnsi" w:cstheme="minorHAnsi"/>
              </w:rPr>
              <w:t>) przy Dokumencie wymaganym.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8FB8E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</w:rPr>
              <w:t>Udzielono odpowiedzi w punkcie 10.</w:t>
            </w:r>
          </w:p>
        </w:tc>
      </w:tr>
      <w:tr w:rsidR="0068149A" w:rsidRPr="009263CB" w14:paraId="44D3716B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AC56C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B51F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  <w:lang w:eastAsia="pl-PL"/>
              </w:rPr>
            </w:pPr>
            <w:r w:rsidRPr="009263CB">
              <w:rPr>
                <w:rFonts w:asciiTheme="minorHAnsi" w:hAnsiTheme="minorHAnsi" w:cstheme="minorHAnsi"/>
              </w:rPr>
              <w:t>1.3.Zawartość dokumentu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54DE4" w14:textId="15AC03E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Różnice w wersji specyfikacji polskiej i angielskiej.</w:t>
            </w:r>
          </w:p>
          <w:p w14:paraId="6539DF5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Które komunikaty zostaną zastąpione przez UPO i Odrzucenie Komunikatu? Specyfikacje zawierają inne listy zastępowanych komunikatów.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392F2B" w14:textId="031E7AAE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Poprawna lista komunikatów, które zostaną zastąpione UPO, bądź </w:t>
            </w:r>
            <w:r w:rsidRPr="009263CB">
              <w:rPr>
                <w:rFonts w:asciiTheme="minorHAnsi" w:hAnsiTheme="minorHAnsi" w:cstheme="minorHAnsi"/>
              </w:rPr>
              <w:t xml:space="preserve">,,Odrzuceniem Komunikatu” to: </w:t>
            </w: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PWK1, PWK2, PWK3, IE616,  pozostałe komunikaty ,,biznesowe” wymienione w tym miejscu w specyfikacji angielskiej zostały błędnie podane.</w:t>
            </w:r>
          </w:p>
        </w:tc>
      </w:tr>
      <w:tr w:rsidR="0068149A" w:rsidRPr="009263CB" w14:paraId="72B9D626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2E5D1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7BDD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/IE515/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/Towar/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DokumentWymagany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/@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ilosc</w:t>
            </w:r>
            <w:proofErr w:type="spellEnd"/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7875A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Czy </w:t>
            </w:r>
            <w:proofErr w:type="spellStart"/>
            <w:r w:rsidRPr="009263CB">
              <w:rPr>
                <w:rFonts w:asciiTheme="minorHAnsi" w:hAnsiTheme="minorHAnsi" w:cstheme="minorHAnsi"/>
              </w:rPr>
              <w:t>Ilosc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przy dokumencie wymaganym – jak wiemy odnosząca się do pozwolenia AGREX  - to ilość całkowita na którą otrzymano pozwolenie, czy też bieżące saldo (tyle jeszcze pozostało do wykorzystania z tego pozwolenia)?</w:t>
            </w:r>
          </w:p>
          <w:p w14:paraId="02A07F23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przewidziane jest elektroniczne potwierdzanie saldowania, które zastąpiłoby aktualną formę pisania i stemplowania na papierowym pozwoleniu?</w:t>
            </w:r>
          </w:p>
          <w:p w14:paraId="623A0381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568FE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Zagadnienie dotyczy przyszłych instrukcji i wytycznych dla obiegu dokumentów w ramach wymiany informacji i komunikatów pomiędzy SC a ARR. Generalnie, interfejs zakłada elektroniczne saldowanie pozwoleń AGREX w oparciu o dane deklarowane na zgłoszeniach wywozowych, tym samym deklarowana ilość towaru w zgłoszeniu wskazuje na ilość towaru, która ma być zablokowana (zabezpieczona) na pozwoleniu elektronicznym, zarejestrowanym w ARR. Następnie, w dalszym procesie obsługi zgłoszenia następuje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odsaldowanie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(obciążenie salda) zadeklarowanej ilości z elektronicznego pozwolenia AGREX wskazanej w zgłoszeniu wywozowym, lub zwolnienie blokady salda gdy ma miejsce unieważnieni zgłoszenia, bądź odmowa zwolnienia.</w:t>
            </w:r>
          </w:p>
        </w:tc>
      </w:tr>
      <w:tr w:rsidR="0068149A" w:rsidRPr="009263CB" w14:paraId="18F23FE0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97600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C421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  <w:lang w:eastAsia="pl-PL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Nie dotyczy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40EF92" w14:textId="43551CCF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Kiedy będzie dostępna specyfikacja biznesowa, instrukcja dla użytkowników – szczególnie dla procedury uproszczonej?</w:t>
            </w:r>
          </w:p>
          <w:p w14:paraId="6D3375C0" w14:textId="333F0280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zmieni się scenariusz awaryjny czyli wpisywanie do rejestru i drukowanie ESS?</w:t>
            </w:r>
          </w:p>
          <w:p w14:paraId="6A392C0E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zmieni się dokument ESS?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BF5D2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W analizie</w:t>
            </w:r>
          </w:p>
        </w:tc>
      </w:tr>
      <w:tr w:rsidR="0068149A" w:rsidRPr="009263CB" w14:paraId="04CB3237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92BE6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E0E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IE515/</w:t>
            </w:r>
            <w:proofErr w:type="spellStart"/>
            <w:r w:rsidRPr="009263CB">
              <w:rPr>
                <w:rFonts w:asciiTheme="minorHAnsi" w:hAnsiTheme="minorHAnsi" w:cstheme="minorHAnsi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</w:rPr>
              <w:t>/Nadawca</w:t>
            </w:r>
          </w:p>
          <w:p w14:paraId="64711F22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Strona 117-118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43DCE" w14:textId="134FB60E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 xml:space="preserve">Proszę o wyjaśnienie następującej kwestii. W instrukcji wypełniania zgłoszeń celnych strona 16 jest informacja odnośnie sposobu wypełniania pola 2 w przypadku zgłoszeń wysyłanych elektronicznie do ECS. Instrukcja mówi , że  podanie numeru regon w odpowiednim formacie jest obowiązkowe (oczywiście dla podmiotów posiadających numer regon). Jednocześnie Specyfikacja techniczna </w:t>
            </w:r>
            <w:proofErr w:type="spellStart"/>
            <w:r w:rsidRPr="009263CB">
              <w:rPr>
                <w:rFonts w:asciiTheme="minorHAnsi" w:hAnsiTheme="minorHAnsi" w:cstheme="minorHAnsi"/>
              </w:rPr>
              <w:t>xml</w:t>
            </w:r>
            <w:proofErr w:type="spellEnd"/>
            <w:r w:rsidRPr="009263CB">
              <w:rPr>
                <w:rFonts w:asciiTheme="minorHAnsi" w:hAnsiTheme="minorHAnsi" w:cstheme="minorHAnsi"/>
              </w:rPr>
              <w:t xml:space="preserve"> do  AES mówi , że  numer regon w atrybucie IE515/</w:t>
            </w:r>
            <w:proofErr w:type="spellStart"/>
            <w:r w:rsidRPr="009263CB">
              <w:rPr>
                <w:rFonts w:asciiTheme="minorHAnsi" w:hAnsiTheme="minorHAnsi" w:cstheme="minorHAnsi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</w:rPr>
              <w:t>/Nadawca jest elementem opcjonalnym. Brak jest reguł wyjaśniających</w:t>
            </w:r>
          </w:p>
          <w:p w14:paraId="1D83FB9A" w14:textId="7407EA7C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Proszę o wyjaśnienie który zapis jest prawidłowy , bo moim zdaniem jest tu rozbieżność. Może w specyfikacji brak jakiejś reguły ?</w:t>
            </w:r>
          </w:p>
          <w:p w14:paraId="6B580EC5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mogę w komunikacie IE515 nie podawać numeru regon ? Kiedy podanie regon jest wymagane a kiedy nie jest 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3B94E0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W analizie</w:t>
            </w:r>
          </w:p>
        </w:tc>
      </w:tr>
      <w:tr w:rsidR="0068149A" w:rsidRPr="009263CB" w14:paraId="0BA718F7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21D7C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C5B0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/IE5PCS/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WniosekOPotwierdzenie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/Towar/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DokumentPoprzedni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/@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NrPozycji</w:t>
            </w:r>
            <w:proofErr w:type="spellEnd"/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9A7CA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  <w:lang w:eastAsia="pl-PL"/>
              </w:rPr>
            </w:pPr>
            <w:r w:rsidRPr="009263CB">
              <w:rPr>
                <w:rFonts w:asciiTheme="minorHAnsi" w:hAnsiTheme="minorHAnsi" w:cstheme="minorHAnsi"/>
              </w:rPr>
              <w:t xml:space="preserve">Opis mówi, że </w:t>
            </w:r>
            <w:r w:rsidRPr="009263CB">
              <w:rPr>
                <w:rFonts w:asciiTheme="minorHAnsi" w:hAnsiTheme="minorHAnsi" w:cstheme="minorHAnsi"/>
                <w:lang w:eastAsia="pl-PL"/>
              </w:rPr>
              <w:t>Numer pozycji towaru podawany jest jedynie w sytuacji niezbędnej dla prawidłowej identyfikacji towaru.</w:t>
            </w:r>
          </w:p>
          <w:p w14:paraId="7DB6B95C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W jakich sytuacjach należy tego używać, skoro Dokumenty poprzednie są zawarte wewnątrz konkretnego towaru?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1FB7A" w14:textId="6EBB881C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Czwarty komponent w elemencie ,,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DokumentPoprzedni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”  tj. 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NrPozycji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 xml:space="preserve">  referuje do pozycji towarowej poprzedniego zgłoszenia /deklaracji/. Powinien być on zawsze podawany w sytuacji  kiedy część towarów z danej pozycji  z poprzedniego zgłoszeni/deklaracji  nie jest obejmowana wnioskiem na danej poz. towarowej. Termin – identyfikacja, ma polegać jedynie na wskazaniu konkretnej  pozycji towarowej z dokumentu poprzedzającego wniosek o potwierdzenie statusu.</w:t>
            </w:r>
          </w:p>
          <w:p w14:paraId="0F49574F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Docelowo po wejściu w życie nowych przepisów wykonawczych dla UCC cały element ,,</w:t>
            </w:r>
            <w:proofErr w:type="spellStart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DokumentPoprzedni</w:t>
            </w:r>
            <w:proofErr w:type="spellEnd"/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” zostanie usunięty z PCS.</w:t>
            </w:r>
          </w:p>
        </w:tc>
      </w:tr>
      <w:tr w:rsidR="0068149A" w:rsidRPr="009263CB" w14:paraId="260B8C7F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75761A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8A07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  <w:lang w:eastAsia="pl-PL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/IE515/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Zgloszenie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/Nadawca oraz</w:t>
            </w:r>
          </w:p>
          <w:p w14:paraId="4BFC0C6D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  <w:lang w:eastAsia="pl-PL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/IE599/</w:t>
            </w:r>
            <w:proofErr w:type="spellStart"/>
            <w:r w:rsidRPr="009263CB">
              <w:rPr>
                <w:rFonts w:asciiTheme="minorHAnsi" w:hAnsiTheme="minorHAnsi" w:cstheme="minorHAnsi"/>
                <w:lang w:eastAsia="pl-PL"/>
              </w:rPr>
              <w:t>PotwierdzenieWywozu</w:t>
            </w:r>
            <w:proofErr w:type="spellEnd"/>
            <w:r w:rsidRPr="009263CB">
              <w:rPr>
                <w:rFonts w:asciiTheme="minorHAnsi" w:hAnsiTheme="minorHAnsi" w:cstheme="minorHAnsi"/>
                <w:lang w:eastAsia="pl-PL"/>
              </w:rPr>
              <w:t>/Nadawca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5A24B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konieczne jest stosowanie polskich znaków w elementach nazwa i adres nadawcy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FD1E9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Po konsultacji z właścicielem Systemu AES- Departamentem DC MF uległa zmianie odpowiedź na pytanie, ZP AES przeprasza za wprowadzenie w błąd.</w:t>
            </w:r>
          </w:p>
          <w:p w14:paraId="6B84E076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Odpowiedź:</w:t>
            </w:r>
          </w:p>
          <w:p w14:paraId="63A402C8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bCs/>
                <w:lang w:eastAsia="pl-PL"/>
              </w:rPr>
              <w:t>W Polsce przyjęto generalną zasadę, że zgłoszenie celne jest wypełniane w języku polskim, zgodnie z obowiązującymi zasadami gramatycznymi. W związku z powyższym konieczne jest stosowanie polskich znaków w elementach nazwa i adres nadawcy, podobnie jak w pozostałych polach tekstowych.</w:t>
            </w:r>
          </w:p>
        </w:tc>
      </w:tr>
      <w:tr w:rsidR="0068149A" w:rsidRPr="009263CB" w14:paraId="7715F0A5" w14:textId="77777777" w:rsidTr="00222D52">
        <w:trPr>
          <w:cantSplit/>
          <w:trHeight w:val="979"/>
        </w:trPr>
        <w:tc>
          <w:tcPr>
            <w:tcW w:w="32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9B5D0" w14:textId="77777777" w:rsidR="0068149A" w:rsidRPr="009263CB" w:rsidRDefault="0068149A" w:rsidP="00E7409C">
            <w:pPr>
              <w:pStyle w:val="Text1"/>
              <w:numPr>
                <w:ilvl w:val="0"/>
                <w:numId w:val="16"/>
              </w:numPr>
              <w:spacing w:line="271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9F98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  <w:lang w:eastAsia="pl-PL"/>
              </w:rPr>
            </w:pPr>
            <w:r w:rsidRPr="009263CB">
              <w:rPr>
                <w:rFonts w:asciiTheme="minorHAnsi" w:hAnsiTheme="minorHAnsi" w:cstheme="minorHAnsi"/>
                <w:lang w:eastAsia="pl-PL"/>
              </w:rPr>
              <w:t>Cały dokument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73214" w14:textId="77777777" w:rsidR="0068149A" w:rsidRPr="009263CB" w:rsidRDefault="0068149A" w:rsidP="00E7409C">
            <w:pPr>
              <w:spacing w:line="271" w:lineRule="auto"/>
              <w:rPr>
                <w:rFonts w:asciiTheme="minorHAnsi" w:hAnsiTheme="minorHAnsi" w:cstheme="minorHAnsi"/>
              </w:rPr>
            </w:pPr>
            <w:r w:rsidRPr="009263CB">
              <w:rPr>
                <w:rFonts w:asciiTheme="minorHAnsi" w:hAnsiTheme="minorHAnsi" w:cstheme="minorHAnsi"/>
              </w:rPr>
              <w:t>Czy po wdrożeniu systemu AES utrzymany zostanie dotychczasowy sposób przygotowywania odpraw celnych zbiorczych (zgłoszenie kurierskie) na podstawie sekcji B , część IX Instrukcji Wypełniania Zgłoszeń Celnych dla przesyłek do wartości 22€ ? Napływają do nas informacje z Irlandii (gdzie nowy system jest testowany) że takie rozwiązanie nie jest przewidziane. Każda przesyłka (nawet o wartości poniżej 22 EURO) musi być zgłoszona do odprawy celnej indywidualnie.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A91B63" w14:textId="2B619E1F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Obecnie budowany w Polsce system AES opiera się na specyfikacji funkcjonalnej systemu ECS zmodyfikowanej przez wprowadzenie rozwiązań krajowych usprawniających obsługę zgłoszenia w systemie. Na chwilę obecną nie przewiduje się zmian obsługi zgłoszenia kurierskiego.</w:t>
            </w:r>
          </w:p>
          <w:p w14:paraId="4E8C4A94" w14:textId="77777777" w:rsidR="0068149A" w:rsidRPr="009263CB" w:rsidRDefault="0068149A" w:rsidP="00E7409C">
            <w:pPr>
              <w:spacing w:line="271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263CB">
              <w:rPr>
                <w:rFonts w:asciiTheme="minorHAnsi" w:eastAsia="Times New Roman" w:hAnsiTheme="minorHAnsi" w:cstheme="minorHAnsi"/>
                <w:lang w:eastAsia="pl-PL"/>
              </w:rPr>
              <w:t>Jednocześnie informujemy, iż w zakresie Unijnego Kodeksu Celnego na szczeblu unijnym kontynuowane są prace dotyczące formalności celnych związanych z odprawą celną przesyłek kurierskich do 22 euro.</w:t>
            </w:r>
          </w:p>
        </w:tc>
      </w:tr>
    </w:tbl>
    <w:p w14:paraId="04F2C5CC" w14:textId="77777777" w:rsidR="008C4718" w:rsidRPr="009263CB" w:rsidRDefault="008C4718" w:rsidP="00E7409C">
      <w:pPr>
        <w:spacing w:line="271" w:lineRule="auto"/>
        <w:rPr>
          <w:rFonts w:asciiTheme="minorHAnsi" w:hAnsiTheme="minorHAnsi" w:cstheme="minorHAnsi"/>
        </w:rPr>
      </w:pPr>
    </w:p>
    <w:sectPr w:rsidR="008C4718" w:rsidRPr="009263CB" w:rsidSect="00222D52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14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1899" w14:textId="77777777" w:rsidR="007A0473" w:rsidRDefault="007A0473" w:rsidP="00D92C74">
      <w:pPr>
        <w:spacing w:after="0" w:line="240" w:lineRule="auto"/>
      </w:pPr>
      <w:r>
        <w:separator/>
      </w:r>
    </w:p>
  </w:endnote>
  <w:endnote w:type="continuationSeparator" w:id="0">
    <w:p w14:paraId="50B704D0" w14:textId="77777777" w:rsidR="007A0473" w:rsidRDefault="007A0473" w:rsidP="00D9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337430"/>
      <w:docPartObj>
        <w:docPartGallery w:val="Page Numbers (Bottom of Page)"/>
        <w:docPartUnique/>
      </w:docPartObj>
    </w:sdtPr>
    <w:sdtEndPr/>
    <w:sdtContent>
      <w:p w14:paraId="0F0A7EF6" w14:textId="65FA0359" w:rsidR="0068149A" w:rsidRDefault="00681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3043" w14:textId="77777777" w:rsidR="0068149A" w:rsidRDefault="00681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0D50" w14:textId="77777777" w:rsidR="005E53DF" w:rsidRDefault="005E53DF">
    <w:pPr>
      <w:pStyle w:val="Stopka"/>
    </w:pPr>
    <w:r>
      <w:rPr>
        <w:noProof/>
        <w:lang w:eastAsia="pl-PL"/>
      </w:rPr>
      <w:drawing>
        <wp:inline distT="0" distB="0" distL="0" distR="0" wp14:anchorId="7B0CDD62" wp14:editId="3795F1D6">
          <wp:extent cx="5401310" cy="518160"/>
          <wp:effectExtent l="0" t="0" r="889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5B061" w14:textId="77777777" w:rsidR="007A0473" w:rsidRDefault="007A0473" w:rsidP="00D92C74">
      <w:pPr>
        <w:spacing w:after="0" w:line="240" w:lineRule="auto"/>
      </w:pPr>
      <w:r>
        <w:separator/>
      </w:r>
    </w:p>
  </w:footnote>
  <w:footnote w:type="continuationSeparator" w:id="0">
    <w:p w14:paraId="47F55ECC" w14:textId="77777777" w:rsidR="007A0473" w:rsidRDefault="007A0473" w:rsidP="00D9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E5DA" w14:textId="3B7A8F06" w:rsidR="002F1D8E" w:rsidRDefault="008C4718" w:rsidP="002F1D8E">
    <w:pPr>
      <w:spacing w:after="0" w:line="240" w:lineRule="auto"/>
      <w:jc w:val="right"/>
      <w:rPr>
        <w:rFonts w:cs="Arial"/>
        <w:sz w:val="20"/>
        <w:szCs w:val="20"/>
      </w:rPr>
    </w:pPr>
    <w:bookmarkStart w:id="1" w:name="_Toc46926486"/>
    <w:bookmarkStart w:id="2" w:name="_Hlk54348084"/>
    <w:bookmarkStart w:id="3" w:name="_Hlk54348085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47A3EA" wp14:editId="49924674">
          <wp:simplePos x="0" y="0"/>
          <wp:positionH relativeFrom="column">
            <wp:posOffset>-318770</wp:posOffset>
          </wp:positionH>
          <wp:positionV relativeFrom="paragraph">
            <wp:posOffset>-196850</wp:posOffset>
          </wp:positionV>
          <wp:extent cx="2888615" cy="600075"/>
          <wp:effectExtent l="0" t="0" r="6985" b="9525"/>
          <wp:wrapTight wrapText="bothSides">
            <wp:wrapPolygon edited="0">
              <wp:start x="0" y="0"/>
              <wp:lineTo x="0" y="21257"/>
              <wp:lineTo x="6980" y="21257"/>
              <wp:lineTo x="21510" y="15086"/>
              <wp:lineTo x="21510" y="10971"/>
              <wp:lineTo x="21082" y="10286"/>
              <wp:lineTo x="20085" y="4114"/>
              <wp:lineTo x="6980" y="0"/>
              <wp:lineTo x="0" y="0"/>
            </wp:wrapPolygon>
          </wp:wrapTight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D8E" w:rsidRPr="007F06F1">
      <w:rPr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8DA757" wp14:editId="4A59A5F9">
              <wp:simplePos x="0" y="0"/>
              <wp:positionH relativeFrom="column">
                <wp:posOffset>-904240</wp:posOffset>
              </wp:positionH>
              <wp:positionV relativeFrom="paragraph">
                <wp:posOffset>-462280</wp:posOffset>
              </wp:positionV>
              <wp:extent cx="3466465" cy="214630"/>
              <wp:effectExtent l="0" t="0" r="635" b="0"/>
              <wp:wrapNone/>
              <wp:docPr id="27" name="Prostoką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6465" cy="2146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3569D167" id="Prostokąt 27" o:spid="_x0000_s1026" style="position:absolute;margin-left:-71.2pt;margin-top:-36.4pt;width:272.9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OagIAAM0EAAAOAAAAZHJzL2Uyb0RvYy54bWysVM1u2zAMvg/YOwi6r05SN92MOkXQIsOA&#10;oA2QDj0zshQblUVNUuJ0973ZHmyU7LRZt9MwHwRSpPjz8aOvrg+tZnvpfIOm5OOzEWfSCKwasy35&#10;14fFh4+c+QCmAo1GlvxZen49e//uqrOFnGCNupKOURDji86WvA7BFlnmRS1b8GdopSGjQtdCINVt&#10;s8pBR9FbnU1Go2nWoausQyG9p9vb3shnKb5SUoR7pbwMTJecagvpdOncxDObXUGxdWDrRgxlwD9U&#10;0UJjKOlLqFsIwHau+SNU2wiHHlU4E9hmqFQjZOqBuhmP3nSzrsHK1AuB4+0LTP7/hRV3+5VjTVXy&#10;ySVnBlqa0YoqDPj080dgdEkIddYX5Li2Kxd79HaJ4smTIfvNEhU/+ByUa6MvdcgOCe7nF7jlITBB&#10;l+f5dJpPLzgTZJuM8+l5mkcGxfG1dT58ltiyKJTc0TgTyrBf+hDzQ3F0SYWhbqpFo3VS3HZzox3b&#10;A41+sRjRF3uhJ/7UTRvWUfaLnMxMAFFQaQgktpZA8WbLGegtcVsEl3IbjBkoUp/7Fnzd50hhhxTa&#10;RLtMBBxKfUUnShusngl4hz0jvRWLhnpcgg8rcERBqobWKtzToTRSiThInNXovv/tPvoTM8jKWUeU&#10;pvK/7cBJzvQXQ5z5NM7zuANJyS8uJ6S4U8vm1GJ27Q0SdGNaYCuSGP2DPorKYftI2zePWckERlDu&#10;HqhBuQn9qtH+CjmfJzfivYWwNGsrYvAjjg+HR3B2GHQgitzhkf5QvJl37xtfGpzvAqomkeEV14GZ&#10;tDNp4MN+x6U81ZPX619o9gsAAP//AwBQSwMEFAAGAAgAAAAhACRebWvfAAAADAEAAA8AAABkcnMv&#10;ZG93bnJldi54bWxMj8FOwzAQRO9I/IO1SNxau2lCIcSpECoHuLVQcd3EJg7EdmS7afh7lhPcdndG&#10;s2+q7WwHNukQe+8krJYCmHatV73rJLy9Pi1ugcWETuHgnZbwrSNs68uLCkvlz26vp0PqGIW4WKIE&#10;k9JYch5boy3GpR+1I+3DB4uJ1tBxFfBM4XbgmRA33GLv6IPBUT8a3X4dTlbC+3PCZjJ+J3bh2L18&#10;FqbIrJHy+mp+uAeW9Jz+zPCLT+hQE1PjT05FNkhYrPIsJy9Nm4xKkCUX6wJYQ5f1nQBeV/x/ifoH&#10;AAD//wMAUEsBAi0AFAAGAAgAAAAhALaDOJL+AAAA4QEAABMAAAAAAAAAAAAAAAAAAAAAAFtDb250&#10;ZW50X1R5cGVzXS54bWxQSwECLQAUAAYACAAAACEAOP0h/9YAAACUAQAACwAAAAAAAAAAAAAAAAAv&#10;AQAAX3JlbHMvLnJlbHNQSwECLQAUAAYACAAAACEAkeIszmoCAADNBAAADgAAAAAAAAAAAAAAAAAu&#10;AgAAZHJzL2Uyb0RvYy54bWxQSwECLQAUAAYACAAAACEAJF5ta98AAAAMAQAADwAAAAAAAAAAAAAA&#10;AADEBAAAZHJzL2Rvd25yZXYueG1sUEsFBgAAAAAEAAQA8wAAANAFAAAAAA==&#10;" fillcolor="red" stroked="f" strokeweight="2pt"/>
          </w:pict>
        </mc:Fallback>
      </mc:AlternateContent>
    </w:r>
  </w:p>
  <w:p w14:paraId="7146B7AE" w14:textId="77777777" w:rsidR="002F1D8E" w:rsidRDefault="002F1D8E" w:rsidP="002F1D8E">
    <w:pPr>
      <w:spacing w:after="0" w:line="240" w:lineRule="auto"/>
      <w:jc w:val="right"/>
      <w:rPr>
        <w:rFonts w:cs="Arial"/>
        <w:sz w:val="20"/>
        <w:szCs w:val="20"/>
      </w:rPr>
    </w:pP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310"/>
    <w:multiLevelType w:val="hybridMultilevel"/>
    <w:tmpl w:val="2390A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62C4A"/>
    <w:multiLevelType w:val="hybridMultilevel"/>
    <w:tmpl w:val="BE6C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30A6E"/>
    <w:multiLevelType w:val="hybridMultilevel"/>
    <w:tmpl w:val="B1EC3FA2"/>
    <w:lvl w:ilvl="0" w:tplc="1CA8CE4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F7A52"/>
    <w:multiLevelType w:val="hybridMultilevel"/>
    <w:tmpl w:val="F8AA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2999"/>
    <w:multiLevelType w:val="hybridMultilevel"/>
    <w:tmpl w:val="5E14BD9C"/>
    <w:lvl w:ilvl="0" w:tplc="56DC90B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4121"/>
    <w:multiLevelType w:val="hybridMultilevel"/>
    <w:tmpl w:val="9C12E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F6F02"/>
    <w:multiLevelType w:val="hybridMultilevel"/>
    <w:tmpl w:val="C472D9E2"/>
    <w:lvl w:ilvl="0" w:tplc="D2A80AA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D37AF"/>
    <w:multiLevelType w:val="hybridMultilevel"/>
    <w:tmpl w:val="02A6F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F7125"/>
    <w:multiLevelType w:val="hybridMultilevel"/>
    <w:tmpl w:val="B4A47B32"/>
    <w:lvl w:ilvl="0" w:tplc="1CA8CE4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6792E"/>
    <w:multiLevelType w:val="hybridMultilevel"/>
    <w:tmpl w:val="644E9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353A"/>
    <w:multiLevelType w:val="hybridMultilevel"/>
    <w:tmpl w:val="6E505A50"/>
    <w:lvl w:ilvl="0" w:tplc="27066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807E5"/>
    <w:multiLevelType w:val="hybridMultilevel"/>
    <w:tmpl w:val="FDC40B1E"/>
    <w:lvl w:ilvl="0" w:tplc="1CA8CE4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C577A"/>
    <w:multiLevelType w:val="hybridMultilevel"/>
    <w:tmpl w:val="77AC8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A03BE"/>
    <w:multiLevelType w:val="hybridMultilevel"/>
    <w:tmpl w:val="A0927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201BD"/>
    <w:multiLevelType w:val="hybridMultilevel"/>
    <w:tmpl w:val="CEA66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57159"/>
    <w:multiLevelType w:val="hybridMultilevel"/>
    <w:tmpl w:val="6D54D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E2246"/>
    <w:multiLevelType w:val="hybridMultilevel"/>
    <w:tmpl w:val="3A84287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DF"/>
    <w:rsid w:val="00007026"/>
    <w:rsid w:val="00044E33"/>
    <w:rsid w:val="00050A7E"/>
    <w:rsid w:val="000612BA"/>
    <w:rsid w:val="0007011B"/>
    <w:rsid w:val="00070220"/>
    <w:rsid w:val="00082064"/>
    <w:rsid w:val="000876AE"/>
    <w:rsid w:val="000B56B3"/>
    <w:rsid w:val="000D26CE"/>
    <w:rsid w:val="000E54AD"/>
    <w:rsid w:val="000F357A"/>
    <w:rsid w:val="0014376F"/>
    <w:rsid w:val="00150AA3"/>
    <w:rsid w:val="001735FF"/>
    <w:rsid w:val="00196CA1"/>
    <w:rsid w:val="001A3342"/>
    <w:rsid w:val="001B12C5"/>
    <w:rsid w:val="001C0E6F"/>
    <w:rsid w:val="001E112F"/>
    <w:rsid w:val="001E5D36"/>
    <w:rsid w:val="00222D52"/>
    <w:rsid w:val="00232FC3"/>
    <w:rsid w:val="0025146C"/>
    <w:rsid w:val="00284570"/>
    <w:rsid w:val="00292245"/>
    <w:rsid w:val="00293498"/>
    <w:rsid w:val="002B48B5"/>
    <w:rsid w:val="002C69F3"/>
    <w:rsid w:val="002F1D8E"/>
    <w:rsid w:val="002F4632"/>
    <w:rsid w:val="002F5A3F"/>
    <w:rsid w:val="003533EB"/>
    <w:rsid w:val="003714DC"/>
    <w:rsid w:val="0037465C"/>
    <w:rsid w:val="003747E2"/>
    <w:rsid w:val="00375BF6"/>
    <w:rsid w:val="003C244F"/>
    <w:rsid w:val="003E58C0"/>
    <w:rsid w:val="003F15A8"/>
    <w:rsid w:val="003F1711"/>
    <w:rsid w:val="003F5302"/>
    <w:rsid w:val="00423233"/>
    <w:rsid w:val="004478A8"/>
    <w:rsid w:val="004543A2"/>
    <w:rsid w:val="004559E0"/>
    <w:rsid w:val="00464DE7"/>
    <w:rsid w:val="004723AE"/>
    <w:rsid w:val="004734B5"/>
    <w:rsid w:val="004815E8"/>
    <w:rsid w:val="00490EA4"/>
    <w:rsid w:val="004A3BD4"/>
    <w:rsid w:val="004C4D16"/>
    <w:rsid w:val="004C6F84"/>
    <w:rsid w:val="004F0E26"/>
    <w:rsid w:val="00513E8B"/>
    <w:rsid w:val="00551AEC"/>
    <w:rsid w:val="00552FCC"/>
    <w:rsid w:val="005E53DF"/>
    <w:rsid w:val="0061624A"/>
    <w:rsid w:val="006332C6"/>
    <w:rsid w:val="00643A03"/>
    <w:rsid w:val="0068149A"/>
    <w:rsid w:val="00685979"/>
    <w:rsid w:val="006907F0"/>
    <w:rsid w:val="00690827"/>
    <w:rsid w:val="006B0BB2"/>
    <w:rsid w:val="006C65FA"/>
    <w:rsid w:val="006E5673"/>
    <w:rsid w:val="006F7FB6"/>
    <w:rsid w:val="00700A66"/>
    <w:rsid w:val="00702C93"/>
    <w:rsid w:val="007216BA"/>
    <w:rsid w:val="0073798B"/>
    <w:rsid w:val="0077314E"/>
    <w:rsid w:val="00793D9F"/>
    <w:rsid w:val="00797B7B"/>
    <w:rsid w:val="007A0473"/>
    <w:rsid w:val="007B49F9"/>
    <w:rsid w:val="007D1742"/>
    <w:rsid w:val="007E169F"/>
    <w:rsid w:val="007E4E3C"/>
    <w:rsid w:val="007F06F1"/>
    <w:rsid w:val="007F29E4"/>
    <w:rsid w:val="0080601D"/>
    <w:rsid w:val="00840D6F"/>
    <w:rsid w:val="008A1C94"/>
    <w:rsid w:val="008C2126"/>
    <w:rsid w:val="008C4718"/>
    <w:rsid w:val="008D621F"/>
    <w:rsid w:val="008D6F89"/>
    <w:rsid w:val="00906194"/>
    <w:rsid w:val="00913CE0"/>
    <w:rsid w:val="009263CB"/>
    <w:rsid w:val="00937D8D"/>
    <w:rsid w:val="009422A2"/>
    <w:rsid w:val="009544A2"/>
    <w:rsid w:val="00964CB3"/>
    <w:rsid w:val="00983D7A"/>
    <w:rsid w:val="009A0C33"/>
    <w:rsid w:val="009A4062"/>
    <w:rsid w:val="009B0F97"/>
    <w:rsid w:val="009D56C5"/>
    <w:rsid w:val="00A00454"/>
    <w:rsid w:val="00A204A3"/>
    <w:rsid w:val="00A62217"/>
    <w:rsid w:val="00A72529"/>
    <w:rsid w:val="00A82593"/>
    <w:rsid w:val="00A8777D"/>
    <w:rsid w:val="00AA0F04"/>
    <w:rsid w:val="00AB08EA"/>
    <w:rsid w:val="00AC2D16"/>
    <w:rsid w:val="00AF71EC"/>
    <w:rsid w:val="00AF7CC6"/>
    <w:rsid w:val="00B0268B"/>
    <w:rsid w:val="00B24C9F"/>
    <w:rsid w:val="00B756FE"/>
    <w:rsid w:val="00B82A5B"/>
    <w:rsid w:val="00BA725A"/>
    <w:rsid w:val="00BA7884"/>
    <w:rsid w:val="00BB6BF5"/>
    <w:rsid w:val="00BC7A7D"/>
    <w:rsid w:val="00C169D5"/>
    <w:rsid w:val="00C21B40"/>
    <w:rsid w:val="00C37535"/>
    <w:rsid w:val="00C93F86"/>
    <w:rsid w:val="00C96953"/>
    <w:rsid w:val="00CA0685"/>
    <w:rsid w:val="00CA078F"/>
    <w:rsid w:val="00D10CFA"/>
    <w:rsid w:val="00D2098D"/>
    <w:rsid w:val="00D47789"/>
    <w:rsid w:val="00D57938"/>
    <w:rsid w:val="00D7758E"/>
    <w:rsid w:val="00D844E7"/>
    <w:rsid w:val="00D90836"/>
    <w:rsid w:val="00D92C74"/>
    <w:rsid w:val="00DB6FD3"/>
    <w:rsid w:val="00DC4FF5"/>
    <w:rsid w:val="00DD3C30"/>
    <w:rsid w:val="00DD5A94"/>
    <w:rsid w:val="00DF5518"/>
    <w:rsid w:val="00DF7260"/>
    <w:rsid w:val="00E03C8B"/>
    <w:rsid w:val="00E25EDB"/>
    <w:rsid w:val="00E67EB3"/>
    <w:rsid w:val="00E7409C"/>
    <w:rsid w:val="00E76C33"/>
    <w:rsid w:val="00E90D42"/>
    <w:rsid w:val="00E9693B"/>
    <w:rsid w:val="00EA0758"/>
    <w:rsid w:val="00EC787B"/>
    <w:rsid w:val="00ED01B9"/>
    <w:rsid w:val="00ED17BE"/>
    <w:rsid w:val="00EF1025"/>
    <w:rsid w:val="00F04191"/>
    <w:rsid w:val="00F15294"/>
    <w:rsid w:val="00F21D11"/>
    <w:rsid w:val="00F242CC"/>
    <w:rsid w:val="00F25C10"/>
    <w:rsid w:val="00F42B1B"/>
    <w:rsid w:val="00F96484"/>
    <w:rsid w:val="00FA271C"/>
    <w:rsid w:val="00FA29A3"/>
    <w:rsid w:val="00FE0279"/>
    <w:rsid w:val="00FE3AEF"/>
    <w:rsid w:val="00FF380A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6BD0"/>
  <w15:docId w15:val="{2660B9FB-45C3-498D-A5A0-F5A62A7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A03"/>
    <w:rPr>
      <w:rFonts w:ascii="Arial" w:hAnsi="Aria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BB6BF5"/>
    <w:pPr>
      <w:outlineLvl w:val="0"/>
    </w:pPr>
    <w:rPr>
      <w:sz w:val="42"/>
      <w:szCs w:val="4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570"/>
    <w:pPr>
      <w:keepNext/>
      <w:keepLines/>
      <w:spacing w:before="240" w:after="120"/>
      <w:outlineLvl w:val="1"/>
    </w:pPr>
    <w:rPr>
      <w:rFonts w:eastAsia="Times New Roman" w:cs="Arial"/>
      <w:b/>
      <w:bCs/>
      <w:color w:val="333333"/>
      <w:kern w:val="3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4570"/>
    <w:pPr>
      <w:keepNext/>
      <w:keepLines/>
      <w:spacing w:before="120" w:after="120"/>
      <w:ind w:left="709"/>
      <w:outlineLvl w:val="2"/>
    </w:pPr>
    <w:rPr>
      <w:rFonts w:eastAsia="Times New Roman" w:cs="Arial"/>
      <w:b/>
      <w:bCs/>
      <w:color w:val="333333"/>
      <w:sz w:val="27"/>
      <w:szCs w:val="27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B6B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6BF5"/>
    <w:rPr>
      <w:rFonts w:ascii="Arial" w:eastAsia="Times New Roman" w:hAnsi="Arial" w:cs="Arial"/>
      <w:b/>
      <w:bCs/>
      <w:color w:val="333333"/>
      <w:kern w:val="36"/>
      <w:sz w:val="42"/>
      <w:szCs w:val="4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570"/>
    <w:rPr>
      <w:rFonts w:ascii="Arial" w:eastAsia="Times New Roman" w:hAnsi="Arial" w:cs="Arial"/>
      <w:b/>
      <w:bCs/>
      <w:color w:val="333333"/>
      <w:kern w:val="36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C74"/>
  </w:style>
  <w:style w:type="paragraph" w:styleId="Stopka">
    <w:name w:val="footer"/>
    <w:basedOn w:val="Normalny"/>
    <w:link w:val="StopkaZnak"/>
    <w:uiPriority w:val="99"/>
    <w:unhideWhenUsed/>
    <w:rsid w:val="00D9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C74"/>
  </w:style>
  <w:style w:type="character" w:customStyle="1" w:styleId="Nagwek3Znak">
    <w:name w:val="Nagłówek 3 Znak"/>
    <w:basedOn w:val="Domylnaczcionkaakapitu"/>
    <w:link w:val="Nagwek3"/>
    <w:uiPriority w:val="9"/>
    <w:rsid w:val="00284570"/>
    <w:rPr>
      <w:rFonts w:ascii="Arial" w:eastAsia="Times New Roman" w:hAnsi="Arial" w:cs="Arial"/>
      <w:b/>
      <w:bCs/>
      <w:color w:val="333333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F1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7FB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B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B6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F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F7FB6"/>
    <w:pPr>
      <w:spacing w:after="0" w:line="240" w:lineRule="auto"/>
    </w:pPr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71C"/>
    <w:pPr>
      <w:spacing w:after="160"/>
    </w:pPr>
    <w:rPr>
      <w:rFonts w:ascii="Arial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71C"/>
    <w:rPr>
      <w:rFonts w:ascii="Arial" w:hAnsi="Arial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4191"/>
    <w:rPr>
      <w:color w:val="954F72" w:themeColor="followedHyperlink"/>
      <w:u w:val="single"/>
    </w:rPr>
  </w:style>
  <w:style w:type="paragraph" w:customStyle="1" w:styleId="Text1">
    <w:name w:val="Text 1"/>
    <w:basedOn w:val="Normalny"/>
    <w:rsid w:val="0068149A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ase">
    <w:name w:val="Base"/>
    <w:rsid w:val="0068149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ania.AESAIS@kra.mofnet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clo.gov.pl/niusy/-/asset_publisher/IH0g/content/zmiana-harmonogramu-wdrozen-ais-aes-i-ncts2;jsessionid=DF8AC8F930E3FEA741338FCAECFAD9B9?redirect=http%3A%2F%2Fwww.e-clo.gov.pl%2Fstrona-glowna%3Bjsessionid%3DDF8AC8F930E3FEA741338FCAECFAD9B9%3Fp_p_id%3D101_INSTANCE_A6k3%26p_p_lifecycle%3D0%26p_p_state%3Dnormal%26p_p_mode%3Dview%26p_p_col_id%3D_118_INSTANCE_oZa2__column-2%26p_p_col_count%3D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clo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-cl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/xsd/ECS/IE515_v1-0.xs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SZJ\Documents\1_OPISY%20US&#321;UG%20PUBLICZNYCH\2020%2007%2020%20OPISY%20US&#321;UG%20do%20uzgodnie&#324;\2020%2008\ZALECENIA%20DO%20OPISU%20US&#321;UG\zal.1%20do%20zalece&#324;%20Szablon%20opisu%20grup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8E64-558B-4001-87AD-D371F37D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zal.1 do zaleceń Szablon opisu grupy usług.dotx</Template>
  <TotalTime>0</TotalTime>
  <Pages>11</Pages>
  <Words>1713</Words>
  <Characters>10283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Administracji Skarbowej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 Formularz uwag do specyfikacji</dc:title>
  <dc:creator>Ryfa Remigiusz</dc:creator>
  <cp:lastModifiedBy>Wachel Krzysztof</cp:lastModifiedBy>
  <cp:revision>2</cp:revision>
  <dcterms:created xsi:type="dcterms:W3CDTF">2022-02-25T08:35:00Z</dcterms:created>
  <dcterms:modified xsi:type="dcterms:W3CDTF">2022-02-25T08:35:00Z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MF\HBKV;Wachel Krzysztof</vt:lpwstr>
  </property>
  <property fmtid="{D5CDD505-2E9C-101B-9397-08002B2CF9AE}" pid="4" name="MFClassificationDate">
    <vt:lpwstr>2022-02-23T14:37:36.0817058+01:00</vt:lpwstr>
  </property>
  <property fmtid="{D5CDD505-2E9C-101B-9397-08002B2CF9AE}" pid="5" name="MFClassifiedBySID">
    <vt:lpwstr>MF\S-1-5-21-1525952054-1005573771-2909822258-406677</vt:lpwstr>
  </property>
  <property fmtid="{D5CDD505-2E9C-101B-9397-08002B2CF9AE}" pid="6" name="MFGRNItemId">
    <vt:lpwstr>GRN-ff0f844f-57bb-4291-a8e4-b125b0b76c1f</vt:lpwstr>
  </property>
  <property fmtid="{D5CDD505-2E9C-101B-9397-08002B2CF9AE}" pid="7" name="MFHash">
    <vt:lpwstr>j2kWRd0p9DcO4kgM5J+wNTKR+jGZ+KRYLDl1xQmTgCg=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