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2E2C4" w14:textId="77777777" w:rsidR="001663D7" w:rsidRPr="00140ED2" w:rsidRDefault="001663D7" w:rsidP="00126BD4">
      <w:pPr>
        <w:pStyle w:val="Nagwek1"/>
        <w:spacing w:before="0" w:line="276" w:lineRule="auto"/>
      </w:pPr>
      <w:r w:rsidRPr="00140ED2">
        <w:t>Komunikator BCP</w:t>
      </w:r>
    </w:p>
    <w:p w14:paraId="4969CD57" w14:textId="77777777" w:rsidR="001663D7" w:rsidRPr="00140ED2" w:rsidRDefault="001663D7" w:rsidP="00126BD4">
      <w:pPr>
        <w:pStyle w:val="Nagwek2"/>
        <w:spacing w:line="276" w:lineRule="auto"/>
      </w:pPr>
      <w:r w:rsidRPr="00140ED2">
        <w:t>Definicje: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Definicje"/>
        <w:tblDescription w:val="Definicje"/>
      </w:tblPr>
      <w:tblGrid>
        <w:gridCol w:w="2356"/>
        <w:gridCol w:w="6706"/>
      </w:tblGrid>
      <w:tr w:rsidR="0069620F" w:rsidRPr="00140ED2" w14:paraId="5D226F40" w14:textId="77777777" w:rsidTr="00964201">
        <w:trPr>
          <w:cantSplit/>
          <w:tblHeader/>
        </w:trPr>
        <w:tc>
          <w:tcPr>
            <w:tcW w:w="2376" w:type="dxa"/>
          </w:tcPr>
          <w:p w14:paraId="026B50D3" w14:textId="2BCE8DD2" w:rsidR="0069620F" w:rsidRPr="00140ED2" w:rsidRDefault="007A1304" w:rsidP="00126BD4">
            <w:pPr>
              <w:pStyle w:val="SimpleText"/>
              <w:spacing w:before="0" w:after="0" w:line="276" w:lineRule="auto"/>
              <w:jc w:val="left"/>
              <w:rPr>
                <w:b/>
                <w:szCs w:val="22"/>
              </w:rPr>
            </w:pPr>
            <w:r w:rsidRPr="00140ED2">
              <w:rPr>
                <w:b/>
                <w:szCs w:val="22"/>
              </w:rPr>
              <w:t>Termin</w:t>
            </w:r>
          </w:p>
        </w:tc>
        <w:tc>
          <w:tcPr>
            <w:tcW w:w="6836" w:type="dxa"/>
          </w:tcPr>
          <w:p w14:paraId="6A0857F0" w14:textId="1A0E02E8" w:rsidR="0069620F" w:rsidRPr="00140ED2" w:rsidRDefault="007A1304" w:rsidP="00126BD4">
            <w:pPr>
              <w:pStyle w:val="SimpleText"/>
              <w:spacing w:before="0" w:after="0" w:line="276" w:lineRule="auto"/>
              <w:jc w:val="left"/>
              <w:rPr>
                <w:b/>
                <w:szCs w:val="22"/>
              </w:rPr>
            </w:pPr>
            <w:r w:rsidRPr="00140ED2">
              <w:rPr>
                <w:b/>
                <w:szCs w:val="22"/>
              </w:rPr>
              <w:t>Wyjaśnienie</w:t>
            </w:r>
          </w:p>
        </w:tc>
      </w:tr>
      <w:tr w:rsidR="0069620F" w:rsidRPr="00140ED2" w14:paraId="5B981638" w14:textId="77777777" w:rsidTr="00964201">
        <w:trPr>
          <w:cantSplit/>
        </w:trPr>
        <w:tc>
          <w:tcPr>
            <w:tcW w:w="2376" w:type="dxa"/>
          </w:tcPr>
          <w:p w14:paraId="0994CB36" w14:textId="77777777" w:rsidR="0069620F" w:rsidRPr="00140ED2" w:rsidRDefault="0069620F" w:rsidP="00126BD4">
            <w:pPr>
              <w:pStyle w:val="SimpleText"/>
              <w:spacing w:before="0" w:after="0" w:line="276" w:lineRule="auto"/>
              <w:jc w:val="left"/>
              <w:rPr>
                <w:b/>
                <w:szCs w:val="22"/>
              </w:rPr>
            </w:pPr>
            <w:r w:rsidRPr="00140ED2">
              <w:rPr>
                <w:b/>
                <w:szCs w:val="22"/>
              </w:rPr>
              <w:t>AES</w:t>
            </w:r>
          </w:p>
        </w:tc>
        <w:tc>
          <w:tcPr>
            <w:tcW w:w="6836" w:type="dxa"/>
          </w:tcPr>
          <w:p w14:paraId="2C448466" w14:textId="77777777" w:rsidR="0069620F" w:rsidRPr="00140ED2" w:rsidRDefault="0069620F" w:rsidP="00126BD4">
            <w:pPr>
              <w:pStyle w:val="SimpleText"/>
              <w:spacing w:before="0" w:after="0" w:line="276" w:lineRule="auto"/>
              <w:jc w:val="left"/>
              <w:rPr>
                <w:szCs w:val="22"/>
              </w:rPr>
            </w:pPr>
            <w:r w:rsidRPr="00140ED2">
              <w:rPr>
                <w:szCs w:val="22"/>
              </w:rPr>
              <w:t xml:space="preserve">Automatyczny System Eksportu </w:t>
            </w:r>
          </w:p>
        </w:tc>
      </w:tr>
      <w:tr w:rsidR="0069620F" w:rsidRPr="00140ED2" w14:paraId="6F18C43F" w14:textId="77777777" w:rsidTr="00964201">
        <w:trPr>
          <w:cantSplit/>
        </w:trPr>
        <w:tc>
          <w:tcPr>
            <w:tcW w:w="2376" w:type="dxa"/>
          </w:tcPr>
          <w:p w14:paraId="74994206" w14:textId="77777777" w:rsidR="0069620F" w:rsidRPr="00140ED2" w:rsidRDefault="0069620F" w:rsidP="00126BD4">
            <w:pPr>
              <w:pStyle w:val="SimpleText"/>
              <w:spacing w:before="0" w:after="0" w:line="276" w:lineRule="auto"/>
              <w:jc w:val="left"/>
              <w:rPr>
                <w:b/>
                <w:szCs w:val="22"/>
              </w:rPr>
            </w:pPr>
            <w:r w:rsidRPr="00140ED2">
              <w:rPr>
                <w:b/>
                <w:szCs w:val="22"/>
              </w:rPr>
              <w:t>AIS/ICS</w:t>
            </w:r>
          </w:p>
        </w:tc>
        <w:tc>
          <w:tcPr>
            <w:tcW w:w="6836" w:type="dxa"/>
          </w:tcPr>
          <w:p w14:paraId="3686DEA9" w14:textId="77777777" w:rsidR="0069620F" w:rsidRPr="00140ED2" w:rsidRDefault="0069620F" w:rsidP="00126BD4">
            <w:pPr>
              <w:pStyle w:val="SimpleText"/>
              <w:spacing w:before="0" w:after="0" w:line="276" w:lineRule="auto"/>
              <w:jc w:val="left"/>
              <w:rPr>
                <w:szCs w:val="22"/>
              </w:rPr>
            </w:pPr>
            <w:r w:rsidRPr="00140ED2">
              <w:rPr>
                <w:szCs w:val="22"/>
              </w:rPr>
              <w:t>Komponent Automatycznego Systemu Importu</w:t>
            </w:r>
          </w:p>
        </w:tc>
      </w:tr>
      <w:tr w:rsidR="0069620F" w:rsidRPr="00140ED2" w14:paraId="24FA78AB" w14:textId="77777777" w:rsidTr="00964201">
        <w:trPr>
          <w:cantSplit/>
        </w:trPr>
        <w:tc>
          <w:tcPr>
            <w:tcW w:w="2376" w:type="dxa"/>
          </w:tcPr>
          <w:p w14:paraId="242D9056" w14:textId="77777777" w:rsidR="0069620F" w:rsidRPr="00140ED2" w:rsidRDefault="0069620F" w:rsidP="00126BD4">
            <w:pPr>
              <w:pStyle w:val="SimpleText"/>
              <w:spacing w:before="0" w:after="0" w:line="276" w:lineRule="auto"/>
              <w:jc w:val="left"/>
              <w:rPr>
                <w:b/>
                <w:szCs w:val="22"/>
              </w:rPr>
            </w:pPr>
            <w:r w:rsidRPr="00140ED2">
              <w:rPr>
                <w:b/>
                <w:szCs w:val="22"/>
              </w:rPr>
              <w:t>BCP</w:t>
            </w:r>
          </w:p>
        </w:tc>
        <w:tc>
          <w:tcPr>
            <w:tcW w:w="6836" w:type="dxa"/>
          </w:tcPr>
          <w:p w14:paraId="0306F901" w14:textId="77777777" w:rsidR="0069620F" w:rsidRPr="00140ED2" w:rsidRDefault="0069620F" w:rsidP="00126BD4">
            <w:pPr>
              <w:pStyle w:val="SimpleText"/>
              <w:spacing w:before="0" w:after="0" w:line="276" w:lineRule="auto"/>
              <w:jc w:val="left"/>
              <w:rPr>
                <w:szCs w:val="22"/>
              </w:rPr>
            </w:pPr>
            <w:r w:rsidRPr="00140ED2">
              <w:rPr>
                <w:szCs w:val="22"/>
              </w:rPr>
              <w:t xml:space="preserve">Skrót utworzony w oparciu o dokument Komisji Europejskiej </w:t>
            </w:r>
          </w:p>
          <w:p w14:paraId="3D8B52F6" w14:textId="77777777" w:rsidR="0069620F" w:rsidRPr="00140ED2" w:rsidRDefault="0069620F" w:rsidP="00126BD4">
            <w:pPr>
              <w:pStyle w:val="SimpleText"/>
              <w:spacing w:before="0" w:after="0" w:line="276" w:lineRule="auto"/>
              <w:jc w:val="left"/>
              <w:rPr>
                <w:szCs w:val="22"/>
              </w:rPr>
            </w:pPr>
            <w:r w:rsidRPr="00140ED2">
              <w:rPr>
                <w:szCs w:val="22"/>
              </w:rPr>
              <w:t>‘</w:t>
            </w:r>
            <w:r w:rsidRPr="00140ED2">
              <w:rPr>
                <w:szCs w:val="22"/>
                <w:lang w:val="en-GB"/>
              </w:rPr>
              <w:t>Business Continuity Plan</w:t>
            </w:r>
            <w:r w:rsidRPr="00140ED2">
              <w:rPr>
                <w:szCs w:val="22"/>
              </w:rPr>
              <w:t>”</w:t>
            </w:r>
          </w:p>
        </w:tc>
      </w:tr>
      <w:tr w:rsidR="0069620F" w:rsidRPr="00140ED2" w14:paraId="05276EF5" w14:textId="77777777" w:rsidTr="00964201">
        <w:trPr>
          <w:cantSplit/>
        </w:trPr>
        <w:tc>
          <w:tcPr>
            <w:tcW w:w="2376" w:type="dxa"/>
          </w:tcPr>
          <w:p w14:paraId="37F405AC" w14:textId="77777777" w:rsidR="0069620F" w:rsidRPr="00140ED2" w:rsidRDefault="0069620F" w:rsidP="00126BD4">
            <w:pPr>
              <w:pStyle w:val="SimpleText"/>
              <w:spacing w:before="0" w:after="0" w:line="276" w:lineRule="auto"/>
              <w:jc w:val="left"/>
              <w:rPr>
                <w:b/>
                <w:szCs w:val="22"/>
              </w:rPr>
            </w:pPr>
            <w:r w:rsidRPr="00140ED2">
              <w:rPr>
                <w:b/>
                <w:szCs w:val="22"/>
              </w:rPr>
              <w:t>Brama B2A</w:t>
            </w:r>
          </w:p>
        </w:tc>
        <w:tc>
          <w:tcPr>
            <w:tcW w:w="6836" w:type="dxa"/>
          </w:tcPr>
          <w:p w14:paraId="278A7140" w14:textId="77777777" w:rsidR="0069620F" w:rsidRPr="00140ED2" w:rsidRDefault="0069620F" w:rsidP="00126BD4">
            <w:pPr>
              <w:pStyle w:val="SimpleText"/>
              <w:spacing w:before="0" w:after="0" w:line="276" w:lineRule="auto"/>
              <w:jc w:val="left"/>
              <w:rPr>
                <w:szCs w:val="22"/>
              </w:rPr>
            </w:pPr>
            <w:r w:rsidRPr="00140ED2">
              <w:rPr>
                <w:szCs w:val="22"/>
              </w:rPr>
              <w:t>Komponent komunikacyjny, dedykowany dla komunikacji podmiotów z Systemami operacyjnymi SISC</w:t>
            </w:r>
          </w:p>
        </w:tc>
      </w:tr>
      <w:tr w:rsidR="0069620F" w:rsidRPr="00140ED2" w14:paraId="31326117" w14:textId="77777777" w:rsidTr="00964201">
        <w:trPr>
          <w:cantSplit/>
        </w:trPr>
        <w:tc>
          <w:tcPr>
            <w:tcW w:w="2376" w:type="dxa"/>
          </w:tcPr>
          <w:p w14:paraId="54D86426" w14:textId="77777777" w:rsidR="0069620F" w:rsidRPr="00140ED2" w:rsidRDefault="0069620F" w:rsidP="00126BD4">
            <w:pPr>
              <w:pStyle w:val="SimpleText"/>
              <w:spacing w:before="0" w:after="0" w:line="276" w:lineRule="auto"/>
              <w:jc w:val="left"/>
              <w:rPr>
                <w:b/>
                <w:szCs w:val="22"/>
              </w:rPr>
            </w:pPr>
            <w:r w:rsidRPr="00140ED2">
              <w:rPr>
                <w:b/>
                <w:szCs w:val="22"/>
              </w:rPr>
              <w:t>ECS2/ICS</w:t>
            </w:r>
          </w:p>
        </w:tc>
        <w:tc>
          <w:tcPr>
            <w:tcW w:w="6836" w:type="dxa"/>
          </w:tcPr>
          <w:p w14:paraId="0C86FA06" w14:textId="77777777" w:rsidR="0069620F" w:rsidRPr="00140ED2" w:rsidRDefault="0069620F" w:rsidP="00126BD4">
            <w:pPr>
              <w:pStyle w:val="SimpleText"/>
              <w:spacing w:before="0" w:after="0" w:line="276" w:lineRule="auto"/>
              <w:jc w:val="left"/>
              <w:rPr>
                <w:szCs w:val="22"/>
              </w:rPr>
            </w:pPr>
            <w:r w:rsidRPr="00140ED2">
              <w:rPr>
                <w:szCs w:val="22"/>
              </w:rPr>
              <w:t>Zintegrowany System Kontroli Eksportu i Importu</w:t>
            </w:r>
          </w:p>
        </w:tc>
      </w:tr>
      <w:tr w:rsidR="0069620F" w:rsidRPr="00140ED2" w14:paraId="7AB4694A" w14:textId="77777777" w:rsidTr="00964201">
        <w:trPr>
          <w:cantSplit/>
        </w:trPr>
        <w:tc>
          <w:tcPr>
            <w:tcW w:w="2376" w:type="dxa"/>
          </w:tcPr>
          <w:p w14:paraId="74C38FEF" w14:textId="77777777" w:rsidR="0069620F" w:rsidRPr="00140ED2" w:rsidRDefault="0069620F" w:rsidP="00126BD4">
            <w:pPr>
              <w:pStyle w:val="SimpleText"/>
              <w:spacing w:before="0" w:after="0" w:line="276" w:lineRule="auto"/>
              <w:jc w:val="left"/>
              <w:rPr>
                <w:b/>
                <w:szCs w:val="22"/>
              </w:rPr>
            </w:pPr>
            <w:r w:rsidRPr="00140ED2">
              <w:rPr>
                <w:b/>
                <w:szCs w:val="22"/>
              </w:rPr>
              <w:t>E-mail</w:t>
            </w:r>
          </w:p>
        </w:tc>
        <w:tc>
          <w:tcPr>
            <w:tcW w:w="6836" w:type="dxa"/>
          </w:tcPr>
          <w:p w14:paraId="0D75C933" w14:textId="77777777" w:rsidR="0069620F" w:rsidRPr="00140ED2" w:rsidRDefault="0069620F" w:rsidP="00126BD4">
            <w:pPr>
              <w:pStyle w:val="NormalnyWeb"/>
              <w:spacing w:before="0" w:beforeAutospacing="0" w:after="0" w:afterAutospacing="0" w:line="276" w:lineRule="auto"/>
              <w:rPr>
                <w:rFonts w:ascii="Arial" w:hAnsi="Arial" w:cs="Arial"/>
                <w:sz w:val="22"/>
                <w:szCs w:val="22"/>
              </w:rPr>
            </w:pPr>
            <w:r w:rsidRPr="00140ED2">
              <w:rPr>
                <w:rFonts w:ascii="Arial" w:hAnsi="Arial" w:cs="Arial"/>
                <w:sz w:val="22"/>
                <w:szCs w:val="22"/>
              </w:rPr>
              <w:t>Poczta elektroniczna będąca usługą pozwalającą na przesyłanie komunikatów poprzez sieć Internet za pomocą predefiniowanych protokołów sieciowych.</w:t>
            </w:r>
          </w:p>
        </w:tc>
      </w:tr>
      <w:tr w:rsidR="0069620F" w:rsidRPr="00140ED2" w14:paraId="7517F5B0" w14:textId="77777777" w:rsidTr="00964201">
        <w:trPr>
          <w:cantSplit/>
        </w:trPr>
        <w:tc>
          <w:tcPr>
            <w:tcW w:w="2376" w:type="dxa"/>
          </w:tcPr>
          <w:p w14:paraId="76382BD3" w14:textId="77777777" w:rsidR="0069620F" w:rsidRPr="00140ED2" w:rsidRDefault="0069620F" w:rsidP="00126BD4">
            <w:pPr>
              <w:pStyle w:val="SimpleText"/>
              <w:spacing w:before="0" w:after="0" w:line="276" w:lineRule="auto"/>
              <w:jc w:val="left"/>
              <w:rPr>
                <w:b/>
                <w:szCs w:val="22"/>
              </w:rPr>
            </w:pPr>
            <w:r w:rsidRPr="00140ED2">
              <w:rPr>
                <w:b/>
                <w:szCs w:val="22"/>
              </w:rPr>
              <w:t>Interfejs niewizualny</w:t>
            </w:r>
          </w:p>
        </w:tc>
        <w:tc>
          <w:tcPr>
            <w:tcW w:w="6836" w:type="dxa"/>
          </w:tcPr>
          <w:p w14:paraId="63F625E0" w14:textId="77777777" w:rsidR="0069620F" w:rsidRPr="00140ED2" w:rsidRDefault="0069620F" w:rsidP="00126BD4">
            <w:pPr>
              <w:pStyle w:val="NormalnyWeb"/>
              <w:spacing w:before="0" w:beforeAutospacing="0" w:after="0" w:afterAutospacing="0" w:line="276" w:lineRule="auto"/>
              <w:rPr>
                <w:rFonts w:ascii="Arial" w:hAnsi="Arial" w:cs="Arial"/>
                <w:sz w:val="22"/>
                <w:szCs w:val="22"/>
              </w:rPr>
            </w:pPr>
            <w:r w:rsidRPr="00140ED2">
              <w:rPr>
                <w:rFonts w:ascii="Arial" w:hAnsi="Arial" w:cs="Arial"/>
                <w:sz w:val="22"/>
                <w:szCs w:val="22"/>
              </w:rPr>
              <w:t>Interfejs na potrzeby automatycznej komunikacji z systemem od strony podmiotów, komunikacja odbywa się z wykorzystaniem web service. Zapewnia wysłanie komunikatu do systemu operacyjnego SISC, pobranie przez podmiot wyniku wysłania komunikatu, pobranie przez podmiot listy dokumentów, pobranie przez podmiot „zgubionej paczki komunikatów”</w:t>
            </w:r>
          </w:p>
        </w:tc>
      </w:tr>
      <w:tr w:rsidR="0069620F" w:rsidRPr="00140ED2" w14:paraId="3A64C55B" w14:textId="77777777" w:rsidTr="00964201">
        <w:trPr>
          <w:cantSplit/>
        </w:trPr>
        <w:tc>
          <w:tcPr>
            <w:tcW w:w="2376" w:type="dxa"/>
          </w:tcPr>
          <w:p w14:paraId="33394FAF" w14:textId="77777777" w:rsidR="0069620F" w:rsidRPr="00140ED2" w:rsidRDefault="0069620F" w:rsidP="00126BD4">
            <w:pPr>
              <w:pStyle w:val="SimpleText"/>
              <w:spacing w:before="0" w:after="0" w:line="276" w:lineRule="auto"/>
              <w:jc w:val="left"/>
              <w:rPr>
                <w:b/>
                <w:szCs w:val="22"/>
              </w:rPr>
            </w:pPr>
            <w:r w:rsidRPr="00140ED2">
              <w:rPr>
                <w:b/>
                <w:szCs w:val="22"/>
              </w:rPr>
              <w:t>Interfejs www</w:t>
            </w:r>
          </w:p>
        </w:tc>
        <w:tc>
          <w:tcPr>
            <w:tcW w:w="6836" w:type="dxa"/>
          </w:tcPr>
          <w:p w14:paraId="38B2B209" w14:textId="77777777" w:rsidR="0069620F" w:rsidRPr="00140ED2" w:rsidRDefault="0069620F" w:rsidP="00126BD4">
            <w:pPr>
              <w:pStyle w:val="SimpleText"/>
              <w:spacing w:before="0" w:after="0" w:line="276" w:lineRule="auto"/>
              <w:jc w:val="left"/>
              <w:rPr>
                <w:szCs w:val="22"/>
              </w:rPr>
            </w:pPr>
            <w:r w:rsidRPr="00140ED2">
              <w:rPr>
                <w:szCs w:val="22"/>
              </w:rPr>
              <w:t>Może być używany do komunikacji elektronicznej z systemami operacyjnymi SISC. Zapewnia podstawową obsługę: wysyłanie komunikatu do systemu operacyjnego SISC, przeglądanie komunikatów podmiotu, pobranie komunikatów podmiotu</w:t>
            </w:r>
          </w:p>
        </w:tc>
      </w:tr>
      <w:tr w:rsidR="0069620F" w:rsidRPr="00140ED2" w14:paraId="7DF86695" w14:textId="77777777" w:rsidTr="00964201">
        <w:trPr>
          <w:cantSplit/>
        </w:trPr>
        <w:tc>
          <w:tcPr>
            <w:tcW w:w="2376" w:type="dxa"/>
          </w:tcPr>
          <w:p w14:paraId="46F415D7" w14:textId="77777777" w:rsidR="0069620F" w:rsidRPr="00140ED2" w:rsidRDefault="0069620F" w:rsidP="00126BD4">
            <w:pPr>
              <w:pStyle w:val="SimpleText"/>
              <w:spacing w:before="0" w:after="0" w:line="276" w:lineRule="auto"/>
              <w:jc w:val="left"/>
              <w:rPr>
                <w:b/>
                <w:szCs w:val="22"/>
              </w:rPr>
            </w:pPr>
            <w:r w:rsidRPr="00140ED2">
              <w:rPr>
                <w:b/>
                <w:szCs w:val="22"/>
              </w:rPr>
              <w:t>Podmiot</w:t>
            </w:r>
          </w:p>
        </w:tc>
        <w:tc>
          <w:tcPr>
            <w:tcW w:w="6836" w:type="dxa"/>
          </w:tcPr>
          <w:p w14:paraId="1CF6B485" w14:textId="77777777" w:rsidR="0069620F" w:rsidRPr="00140ED2" w:rsidRDefault="0069620F" w:rsidP="00126BD4">
            <w:pPr>
              <w:pStyle w:val="SimpleText"/>
              <w:spacing w:before="0" w:after="0" w:line="276" w:lineRule="auto"/>
              <w:jc w:val="left"/>
              <w:rPr>
                <w:szCs w:val="22"/>
              </w:rPr>
            </w:pPr>
            <w:r w:rsidRPr="00140ED2">
              <w:rPr>
                <w:szCs w:val="22"/>
              </w:rPr>
              <w:t>Przedsiębiorca, firma, agencja celna (również organizacja, instytucja), która koresponduje elektronicznie za pomocą komunikatów z systemami operacyjnymi SISC.</w:t>
            </w:r>
          </w:p>
          <w:p w14:paraId="3F781CDF" w14:textId="77777777" w:rsidR="0069620F" w:rsidRPr="00140ED2" w:rsidRDefault="0069620F" w:rsidP="00126BD4">
            <w:pPr>
              <w:pStyle w:val="SimpleText"/>
              <w:spacing w:before="0" w:after="0" w:line="276" w:lineRule="auto"/>
              <w:jc w:val="left"/>
              <w:rPr>
                <w:szCs w:val="22"/>
              </w:rPr>
            </w:pPr>
            <w:r w:rsidRPr="00140ED2">
              <w:rPr>
                <w:szCs w:val="22"/>
              </w:rPr>
              <w:t>Podmiot nie jest tutaj aktorem bezpośrednim, ale działa poprzez ustanowionego reprezentanta (osoby fizycznej) wykorzystującej system podmiotu i/lub interfejs www</w:t>
            </w:r>
          </w:p>
        </w:tc>
      </w:tr>
      <w:tr w:rsidR="0069620F" w:rsidRPr="00140ED2" w14:paraId="48034F03" w14:textId="77777777" w:rsidTr="00964201">
        <w:trPr>
          <w:cantSplit/>
        </w:trPr>
        <w:tc>
          <w:tcPr>
            <w:tcW w:w="2376" w:type="dxa"/>
          </w:tcPr>
          <w:p w14:paraId="3D845E96" w14:textId="77777777" w:rsidR="0069620F" w:rsidRPr="00140ED2" w:rsidRDefault="0069620F" w:rsidP="00126BD4">
            <w:pPr>
              <w:pStyle w:val="SimpleText"/>
              <w:spacing w:before="0" w:after="0" w:line="276" w:lineRule="auto"/>
              <w:jc w:val="left"/>
              <w:rPr>
                <w:b/>
                <w:szCs w:val="22"/>
              </w:rPr>
            </w:pPr>
            <w:r w:rsidRPr="00140ED2">
              <w:rPr>
                <w:b/>
                <w:szCs w:val="22"/>
              </w:rPr>
              <w:t>PUESC</w:t>
            </w:r>
          </w:p>
        </w:tc>
        <w:tc>
          <w:tcPr>
            <w:tcW w:w="6836" w:type="dxa"/>
          </w:tcPr>
          <w:p w14:paraId="5C0BB3F3" w14:textId="30C97869" w:rsidR="0069620F" w:rsidRPr="00140ED2" w:rsidRDefault="0069620F" w:rsidP="00126BD4">
            <w:pPr>
              <w:pStyle w:val="SimpleText"/>
              <w:spacing w:before="0" w:after="0" w:line="276" w:lineRule="auto"/>
              <w:jc w:val="left"/>
              <w:rPr>
                <w:szCs w:val="22"/>
              </w:rPr>
            </w:pPr>
            <w:r w:rsidRPr="00140ED2">
              <w:rPr>
                <w:szCs w:val="22"/>
              </w:rPr>
              <w:t>Platforma Usług Elektronicznych Skarbowo-Celnych.</w:t>
            </w:r>
          </w:p>
        </w:tc>
      </w:tr>
      <w:tr w:rsidR="0069620F" w:rsidRPr="00140ED2" w14:paraId="59A97360" w14:textId="77777777" w:rsidTr="00964201">
        <w:trPr>
          <w:cantSplit/>
        </w:trPr>
        <w:tc>
          <w:tcPr>
            <w:tcW w:w="2376" w:type="dxa"/>
          </w:tcPr>
          <w:p w14:paraId="41FB08D8" w14:textId="77777777" w:rsidR="0069620F" w:rsidRPr="00140ED2" w:rsidRDefault="0069620F" w:rsidP="00126BD4">
            <w:pPr>
              <w:pStyle w:val="SimpleText"/>
              <w:spacing w:before="0" w:after="0" w:line="276" w:lineRule="auto"/>
              <w:jc w:val="left"/>
              <w:rPr>
                <w:b/>
                <w:szCs w:val="22"/>
              </w:rPr>
            </w:pPr>
            <w:r w:rsidRPr="00140ED2">
              <w:rPr>
                <w:b/>
                <w:szCs w:val="22"/>
              </w:rPr>
              <w:t>Reprezentant</w:t>
            </w:r>
          </w:p>
        </w:tc>
        <w:tc>
          <w:tcPr>
            <w:tcW w:w="6836" w:type="dxa"/>
          </w:tcPr>
          <w:p w14:paraId="4E276DBB" w14:textId="0FAAE7B2" w:rsidR="0069620F" w:rsidRPr="00140ED2" w:rsidRDefault="0069620F" w:rsidP="00126BD4">
            <w:pPr>
              <w:pStyle w:val="SimpleText"/>
              <w:spacing w:before="0" w:after="0" w:line="276" w:lineRule="auto"/>
              <w:jc w:val="left"/>
              <w:rPr>
                <w:szCs w:val="22"/>
              </w:rPr>
            </w:pPr>
            <w:r w:rsidRPr="00140ED2">
              <w:rPr>
                <w:szCs w:val="22"/>
              </w:rPr>
              <w:t>Osoba fizyczna (np. pracownik, agent celny) działająca na rzecz podmiotu, który wymienia komunikaty z systemami operacyjnymi SISC</w:t>
            </w:r>
            <w:r w:rsidR="00140ED2">
              <w:rPr>
                <w:szCs w:val="22"/>
              </w:rPr>
              <w:t xml:space="preserve">. </w:t>
            </w:r>
            <w:r w:rsidRPr="00140ED2">
              <w:rPr>
                <w:szCs w:val="22"/>
              </w:rPr>
              <w:t>Reprezentant może działać na rzecz wielu podmiotów (np. agent celny).</w:t>
            </w:r>
          </w:p>
        </w:tc>
      </w:tr>
      <w:tr w:rsidR="0069620F" w:rsidRPr="00140ED2" w14:paraId="6292B8DE" w14:textId="77777777" w:rsidTr="00964201">
        <w:trPr>
          <w:cantSplit/>
        </w:trPr>
        <w:tc>
          <w:tcPr>
            <w:tcW w:w="2376" w:type="dxa"/>
          </w:tcPr>
          <w:p w14:paraId="54BC1EE9" w14:textId="77777777" w:rsidR="0069620F" w:rsidRPr="00140ED2" w:rsidRDefault="0069620F" w:rsidP="00126BD4">
            <w:pPr>
              <w:pStyle w:val="SimpleText"/>
              <w:spacing w:before="0" w:after="0" w:line="276" w:lineRule="auto"/>
              <w:jc w:val="left"/>
              <w:rPr>
                <w:b/>
                <w:szCs w:val="22"/>
              </w:rPr>
            </w:pPr>
            <w:r w:rsidRPr="00140ED2">
              <w:rPr>
                <w:b/>
                <w:szCs w:val="22"/>
              </w:rPr>
              <w:t>SISC</w:t>
            </w:r>
          </w:p>
        </w:tc>
        <w:tc>
          <w:tcPr>
            <w:tcW w:w="6836" w:type="dxa"/>
          </w:tcPr>
          <w:p w14:paraId="4FFAC635" w14:textId="77777777" w:rsidR="0069620F" w:rsidRPr="00140ED2" w:rsidRDefault="0069620F" w:rsidP="00126BD4">
            <w:pPr>
              <w:pStyle w:val="SimpleText"/>
              <w:spacing w:before="0" w:after="0" w:line="276" w:lineRule="auto"/>
              <w:jc w:val="left"/>
              <w:rPr>
                <w:szCs w:val="22"/>
              </w:rPr>
            </w:pPr>
            <w:r w:rsidRPr="00140ED2">
              <w:rPr>
                <w:szCs w:val="22"/>
              </w:rPr>
              <w:t>System Informacyjny Skarbowo-Celny</w:t>
            </w:r>
          </w:p>
        </w:tc>
      </w:tr>
      <w:tr w:rsidR="0069620F" w:rsidRPr="00140ED2" w14:paraId="0888A877" w14:textId="77777777" w:rsidTr="00964201">
        <w:trPr>
          <w:cantSplit/>
        </w:trPr>
        <w:tc>
          <w:tcPr>
            <w:tcW w:w="2376" w:type="dxa"/>
          </w:tcPr>
          <w:p w14:paraId="31CAFFC8" w14:textId="77777777" w:rsidR="0069620F" w:rsidRPr="00140ED2" w:rsidRDefault="0069620F" w:rsidP="00126BD4">
            <w:pPr>
              <w:pStyle w:val="SimpleText"/>
              <w:spacing w:before="0" w:after="0" w:line="276" w:lineRule="auto"/>
              <w:jc w:val="left"/>
              <w:rPr>
                <w:b/>
                <w:szCs w:val="22"/>
              </w:rPr>
            </w:pPr>
            <w:r w:rsidRPr="00140ED2">
              <w:rPr>
                <w:b/>
                <w:szCs w:val="22"/>
              </w:rPr>
              <w:t>System operacyjny SISC</w:t>
            </w:r>
          </w:p>
        </w:tc>
        <w:tc>
          <w:tcPr>
            <w:tcW w:w="6836" w:type="dxa"/>
          </w:tcPr>
          <w:p w14:paraId="53C35B0B" w14:textId="77777777" w:rsidR="0069620F" w:rsidRPr="00140ED2" w:rsidRDefault="0069620F" w:rsidP="00126BD4">
            <w:pPr>
              <w:pStyle w:val="SimpleText"/>
              <w:spacing w:before="0" w:after="0" w:line="276" w:lineRule="auto"/>
              <w:jc w:val="left"/>
              <w:rPr>
                <w:szCs w:val="22"/>
              </w:rPr>
            </w:pPr>
            <w:r w:rsidRPr="00140ED2">
              <w:rPr>
                <w:szCs w:val="22"/>
              </w:rPr>
              <w:t>Jeden z systemów SISC (np. AES, AIS/ICS)</w:t>
            </w:r>
          </w:p>
        </w:tc>
      </w:tr>
      <w:tr w:rsidR="0069620F" w:rsidRPr="00140ED2" w14:paraId="5AC45B33" w14:textId="77777777" w:rsidTr="00964201">
        <w:trPr>
          <w:cantSplit/>
        </w:trPr>
        <w:tc>
          <w:tcPr>
            <w:tcW w:w="2376" w:type="dxa"/>
          </w:tcPr>
          <w:p w14:paraId="7DB38D2E" w14:textId="77777777" w:rsidR="0069620F" w:rsidRPr="00140ED2" w:rsidRDefault="0069620F" w:rsidP="00126BD4">
            <w:pPr>
              <w:pStyle w:val="SimpleText"/>
              <w:spacing w:before="0" w:after="0" w:line="276" w:lineRule="auto"/>
              <w:jc w:val="left"/>
              <w:rPr>
                <w:b/>
                <w:szCs w:val="22"/>
              </w:rPr>
            </w:pPr>
            <w:r w:rsidRPr="00140ED2">
              <w:rPr>
                <w:b/>
                <w:szCs w:val="22"/>
              </w:rPr>
              <w:t>System podmiotu</w:t>
            </w:r>
          </w:p>
        </w:tc>
        <w:tc>
          <w:tcPr>
            <w:tcW w:w="6836" w:type="dxa"/>
          </w:tcPr>
          <w:p w14:paraId="6C3C2780" w14:textId="77777777" w:rsidR="0069620F" w:rsidRPr="00140ED2" w:rsidRDefault="0069620F" w:rsidP="00126BD4">
            <w:pPr>
              <w:pStyle w:val="SimpleText"/>
              <w:spacing w:before="0" w:after="0" w:line="276" w:lineRule="auto"/>
              <w:jc w:val="left"/>
              <w:rPr>
                <w:szCs w:val="22"/>
              </w:rPr>
            </w:pPr>
            <w:r w:rsidRPr="00140ED2">
              <w:rPr>
                <w:szCs w:val="22"/>
              </w:rPr>
              <w:t>System informatyczny wykorzystywany przez reprezentanta do komunikacji elektronicznej z systemami operacyjnymi SISC</w:t>
            </w:r>
          </w:p>
        </w:tc>
      </w:tr>
      <w:tr w:rsidR="0069620F" w:rsidRPr="00140ED2" w14:paraId="11B04A11" w14:textId="77777777" w:rsidTr="00964201">
        <w:trPr>
          <w:cantSplit/>
        </w:trPr>
        <w:tc>
          <w:tcPr>
            <w:tcW w:w="2376" w:type="dxa"/>
          </w:tcPr>
          <w:p w14:paraId="39EB9D8D" w14:textId="77777777" w:rsidR="0069620F" w:rsidRPr="00140ED2" w:rsidRDefault="0069620F" w:rsidP="00126BD4">
            <w:pPr>
              <w:pStyle w:val="SimpleText"/>
              <w:spacing w:before="0" w:after="0" w:line="276" w:lineRule="auto"/>
              <w:jc w:val="left"/>
              <w:rPr>
                <w:b/>
                <w:szCs w:val="22"/>
              </w:rPr>
            </w:pPr>
            <w:proofErr w:type="spellStart"/>
            <w:r w:rsidRPr="00140ED2">
              <w:rPr>
                <w:b/>
                <w:szCs w:val="22"/>
              </w:rPr>
              <w:t>WebService</w:t>
            </w:r>
            <w:proofErr w:type="spellEnd"/>
            <w:r w:rsidRPr="00140ED2">
              <w:rPr>
                <w:b/>
                <w:szCs w:val="22"/>
              </w:rPr>
              <w:t xml:space="preserve"> (SOAP)</w:t>
            </w:r>
          </w:p>
        </w:tc>
        <w:tc>
          <w:tcPr>
            <w:tcW w:w="6836" w:type="dxa"/>
          </w:tcPr>
          <w:p w14:paraId="1F0804E3" w14:textId="77777777" w:rsidR="0069620F" w:rsidRPr="00140ED2" w:rsidRDefault="0069620F" w:rsidP="00126BD4">
            <w:pPr>
              <w:pStyle w:val="SimpleText"/>
              <w:spacing w:before="0" w:after="0" w:line="276" w:lineRule="auto"/>
              <w:jc w:val="left"/>
              <w:rPr>
                <w:szCs w:val="22"/>
              </w:rPr>
            </w:pPr>
            <w:r w:rsidRPr="00140ED2">
              <w:rPr>
                <w:rFonts w:eastAsia="Calibri"/>
                <w:szCs w:val="22"/>
                <w:lang w:eastAsia="en-US"/>
              </w:rPr>
              <w:t>Jest standardem W3C</w:t>
            </w:r>
            <w:r w:rsidRPr="00140ED2">
              <w:rPr>
                <w:szCs w:val="22"/>
              </w:rPr>
              <w:t xml:space="preserve">, </w:t>
            </w:r>
            <w:r w:rsidRPr="00140ED2">
              <w:rPr>
                <w:rFonts w:eastAsia="Calibri"/>
                <w:szCs w:val="22"/>
                <w:lang w:eastAsia="en-US"/>
              </w:rPr>
              <w:t xml:space="preserve">protokół komunikacyjny, wykorzystujący XML do kodowania </w:t>
            </w:r>
            <w:proofErr w:type="spellStart"/>
            <w:r w:rsidRPr="00140ED2">
              <w:rPr>
                <w:rFonts w:eastAsia="Calibri"/>
                <w:szCs w:val="22"/>
                <w:lang w:eastAsia="en-US"/>
              </w:rPr>
              <w:t>wywołań</w:t>
            </w:r>
            <w:proofErr w:type="spellEnd"/>
            <w:r w:rsidRPr="00140ED2">
              <w:rPr>
                <w:rFonts w:eastAsia="Calibri"/>
                <w:szCs w:val="22"/>
                <w:lang w:eastAsia="en-US"/>
              </w:rPr>
              <w:t xml:space="preserve"> i najczęściej protokołu HTTP do ich przenoszenia, możliwe jest jednak wykorzystanie innych protokołów do transportu danych.</w:t>
            </w:r>
          </w:p>
        </w:tc>
      </w:tr>
    </w:tbl>
    <w:p w14:paraId="5BB56D30" w14:textId="77777777" w:rsidR="001663D7" w:rsidRPr="00140ED2" w:rsidRDefault="001663D7" w:rsidP="00126BD4">
      <w:pPr>
        <w:pStyle w:val="Nagwek2"/>
        <w:spacing w:line="276" w:lineRule="auto"/>
      </w:pPr>
      <w:r w:rsidRPr="00140ED2">
        <w:lastRenderedPageBreak/>
        <w:t>Wstęp</w:t>
      </w:r>
    </w:p>
    <w:p w14:paraId="5A2AB672" w14:textId="77777777" w:rsidR="001663D7" w:rsidRPr="00140ED2" w:rsidRDefault="001663D7" w:rsidP="00126BD4">
      <w:pPr>
        <w:spacing w:line="276" w:lineRule="auto"/>
      </w:pPr>
      <w:r w:rsidRPr="00140ED2">
        <w:t>Komunikator BCP to komponent komunikacyjny, zbudowany w oparciu o rozwiązanie informatyczne dotychczas stosowane w systemie ECS2/ICS, dedykowany do komunikacji podmiotów z systemami operacyjnymi SISC, co do zasady jako alternatywa względem PUESC.</w:t>
      </w:r>
    </w:p>
    <w:p w14:paraId="33A61A11" w14:textId="77777777" w:rsidR="001663D7" w:rsidRPr="00140ED2" w:rsidRDefault="001663D7" w:rsidP="00126BD4">
      <w:pPr>
        <w:spacing w:line="276" w:lineRule="auto"/>
      </w:pPr>
      <w:r w:rsidRPr="00140ED2">
        <w:t>Konieczność wytworzenia komunikatora była związana z zapewnieniem realizacji wymagań wynikających z ostatnich zmian do dokumentu „</w:t>
      </w:r>
      <w:r w:rsidRPr="00906CF0">
        <w:t>Business Continuity Plan</w:t>
      </w:r>
      <w:r w:rsidRPr="00140ED2">
        <w:t>” (BCP) Komisji Europejskiej. Dokument odnosi się do przepisów Unijnego Kodeksu Celnego (UKC) w art. 6, które zakładają, że wszelka wymiana informacji, takich jak deklaracje, zgłoszenia, wnioski lub decyzje, między organami celnymi oraz między podmiotami, a organami celnymi, a także przechowywanie tych informacji zgodnie z wymogami przepisów prawa celnego, odbywa się za pomocą technik elektronicznego przetwarzania danych.</w:t>
      </w:r>
    </w:p>
    <w:p w14:paraId="4C85AD36" w14:textId="77777777" w:rsidR="001663D7" w:rsidRPr="00140ED2" w:rsidRDefault="001663D7" w:rsidP="00126BD4">
      <w:pPr>
        <w:spacing w:line="276" w:lineRule="auto"/>
      </w:pPr>
      <w:r w:rsidRPr="00140ED2">
        <w:t xml:space="preserve">Potencjalnie komunikator BCP może zostać zastosowany w przyszłości przez każdy system operacyjny SISC, </w:t>
      </w:r>
      <w:r w:rsidRPr="00140ED2">
        <w:rPr>
          <w:b/>
        </w:rPr>
        <w:t>niemniej w pierwszej fazie będzie mógł zostać wykorzystany do komunikacji wyłącznie z systemami: AIS/ICS i AES.</w:t>
      </w:r>
    </w:p>
    <w:p w14:paraId="684A23DC" w14:textId="77777777" w:rsidR="001663D7" w:rsidRPr="00140ED2" w:rsidRDefault="001663D7" w:rsidP="00126BD4">
      <w:pPr>
        <w:spacing w:line="276" w:lineRule="auto"/>
      </w:pPr>
      <w:r w:rsidRPr="00140ED2">
        <w:t xml:space="preserve">Założenie przyjęte przez Ministerstwo Finansów przewiduje, że komunikator BCP powinien zostać udostępniony w wersji produkcyjnej wraz z uruchomieniem systemu AES, jako dodatkowe zabezpieczenie w obszarze komunikacji. </w:t>
      </w:r>
    </w:p>
    <w:p w14:paraId="07707E02" w14:textId="77777777" w:rsidR="001663D7" w:rsidRPr="00140ED2" w:rsidRDefault="001663D7" w:rsidP="00126BD4">
      <w:pPr>
        <w:spacing w:line="276" w:lineRule="auto"/>
      </w:pPr>
      <w:r w:rsidRPr="00140ED2">
        <w:t xml:space="preserve">O dacie rozpoczęcia działań testowych w zakresie komunikatora BCP oraz o zasadach jego wykorzystywania na produkcji (np. równolegle do wykorzystywanego PUESC bez ogłaszania procedury awaryjnej lub w określone dni czy godziny charakteryzujące się zwiększoną liczbą komunikatów lub alternatywnie do PUESC po ogłoszeniu utrudnień ogólnokrajowych albo awarii w systemie operacyjnym itp.) zostaną Państwo powiadomieni odrębnym newsletterem. Aczkolwiek, pamiętać należy, iż podstawowym założeniem zastosowania komunikatora BCP jest to, że jeżeli komunikat inicjujący operację został przesłany z wykorzystaniem PUESC to cała operacja musi zostać dokończona z wykorzystaniem PUESC. I analogicznie, jeżeli nastąpiła inicjacja procesu w komunikatorze BCP to zakończenie operacji również musi nastąpić w komunikatorze BCP. </w:t>
      </w:r>
    </w:p>
    <w:p w14:paraId="454E71BB" w14:textId="77777777" w:rsidR="001663D7" w:rsidRPr="00140ED2" w:rsidRDefault="001663D7" w:rsidP="00126BD4">
      <w:pPr>
        <w:spacing w:line="276" w:lineRule="auto"/>
      </w:pPr>
      <w:r w:rsidRPr="00140ED2">
        <w:t>Budowa rozwiązań aplikacyjnych umożliwiających korzystanie z komunikatora BCP, po stronie podmiotu, nie jest obowiązkowa, jednakże Departament Ceł, w perspektywie uruchomienia krytycznych systemów AES i AIS/IMPORT, rekomenduje zbudowanie i zapewnienie sobie tego alternatywnego/zapasowego rozwiązania komunikacyjnego.</w:t>
      </w:r>
    </w:p>
    <w:p w14:paraId="0F8C5E4A" w14:textId="77777777" w:rsidR="001663D7" w:rsidRPr="00140ED2" w:rsidRDefault="001663D7" w:rsidP="00126BD4">
      <w:pPr>
        <w:pStyle w:val="Nagwek2"/>
        <w:spacing w:line="276" w:lineRule="auto"/>
      </w:pPr>
      <w:r w:rsidRPr="00140ED2">
        <w:t>Co należy zrobić, aby móc korzystać z Komunikatora BCP?</w:t>
      </w:r>
    </w:p>
    <w:p w14:paraId="1709FA54" w14:textId="3369F417" w:rsidR="001663D7" w:rsidRPr="00140ED2" w:rsidRDefault="001663D7" w:rsidP="00126BD4">
      <w:pPr>
        <w:pStyle w:val="Akapitzlist"/>
        <w:numPr>
          <w:ilvl w:val="0"/>
          <w:numId w:val="30"/>
        </w:numPr>
        <w:spacing w:line="276" w:lineRule="auto"/>
      </w:pPr>
      <w:r w:rsidRPr="00140ED2">
        <w:t>Podmiot niezarejestrowany:</w:t>
      </w:r>
    </w:p>
    <w:p w14:paraId="74D519E4" w14:textId="55E519A2" w:rsidR="001663D7" w:rsidRPr="00140ED2" w:rsidRDefault="001663D7" w:rsidP="00126BD4">
      <w:pPr>
        <w:pStyle w:val="Akapitzlist"/>
        <w:spacing w:line="276" w:lineRule="auto"/>
        <w:ind w:left="709"/>
      </w:pPr>
      <w:r w:rsidRPr="00140ED2">
        <w:t xml:space="preserve">Należy się zarejestrować za pomocą formularzy dostępnych na stronie Platformy Usług Elektronicznych Skarbowo - Celnych (środowisko testowe: </w:t>
      </w:r>
      <w:hyperlink r:id="rId8" w:history="1">
        <w:r w:rsidRPr="00140ED2">
          <w:rPr>
            <w:rStyle w:val="Hipercze"/>
          </w:rPr>
          <w:t>https://test.puesc.gov.pl/</w:t>
        </w:r>
      </w:hyperlink>
      <w:r w:rsidRPr="00140ED2">
        <w:t xml:space="preserve">;środowisko produkcyjne: </w:t>
      </w:r>
      <w:hyperlink r:id="rId9" w:history="1">
        <w:r w:rsidRPr="00140ED2">
          <w:rPr>
            <w:rStyle w:val="Hipercze"/>
          </w:rPr>
          <w:t>https://puesc.gov.pl/</w:t>
        </w:r>
      </w:hyperlink>
      <w:r w:rsidRPr="00140ED2">
        <w:t>). Wybrać z menu zakładkę ‘Formularze’&gt;</w:t>
      </w:r>
      <w:proofErr w:type="spellStart"/>
      <w:r w:rsidRPr="00140ED2">
        <w:t>eFormularze</w:t>
      </w:r>
      <w:proofErr w:type="spellEnd"/>
      <w:r w:rsidRPr="00140ED2">
        <w:t>&gt;e-Klient i wybrać z listy oraz wypełnić odpowiedni do potrzeb formularz.</w:t>
      </w:r>
    </w:p>
    <w:p w14:paraId="2E4F3491" w14:textId="66BFB9FD" w:rsidR="001663D7" w:rsidRPr="00140ED2" w:rsidRDefault="001663D7" w:rsidP="00126BD4">
      <w:pPr>
        <w:pStyle w:val="Akapitzlist"/>
        <w:numPr>
          <w:ilvl w:val="0"/>
          <w:numId w:val="30"/>
        </w:numPr>
        <w:spacing w:line="276" w:lineRule="auto"/>
      </w:pPr>
      <w:r w:rsidRPr="00140ED2">
        <w:t>Podmiot zarejestrowany:</w:t>
      </w:r>
    </w:p>
    <w:p w14:paraId="2FA07884" w14:textId="524F6036" w:rsidR="001663D7" w:rsidRPr="00140ED2" w:rsidRDefault="00EB3A19" w:rsidP="00126BD4">
      <w:pPr>
        <w:pStyle w:val="Akapitzlist"/>
        <w:spacing w:line="276" w:lineRule="auto"/>
      </w:pPr>
      <w:r w:rsidRPr="00140ED2">
        <w:t>L</w:t>
      </w:r>
      <w:r w:rsidR="001663D7" w:rsidRPr="00140ED2">
        <w:t>ogin i hasło pozostają bez zmian.</w:t>
      </w:r>
    </w:p>
    <w:p w14:paraId="3A3C31A0" w14:textId="676D4A47" w:rsidR="001663D7" w:rsidRPr="00140ED2" w:rsidRDefault="001663D7" w:rsidP="00126BD4">
      <w:pPr>
        <w:pStyle w:val="Akapitzlist"/>
        <w:numPr>
          <w:ilvl w:val="0"/>
          <w:numId w:val="30"/>
        </w:numPr>
        <w:spacing w:line="276" w:lineRule="auto"/>
      </w:pPr>
      <w:r w:rsidRPr="00140ED2">
        <w:lastRenderedPageBreak/>
        <w:t>Zgłoszeń można dokonywać na trzy sposoby: za pośrednictwem poczty</w:t>
      </w:r>
      <w:r w:rsidR="00EB3A19" w:rsidRPr="00140ED2">
        <w:t xml:space="preserve"> </w:t>
      </w:r>
      <w:r w:rsidRPr="00140ED2">
        <w:t>elektronicznej, przez stronę www lub interfejs niewizualny.</w:t>
      </w:r>
    </w:p>
    <w:p w14:paraId="3248A084" w14:textId="4000EEF7" w:rsidR="001663D7" w:rsidRPr="00140ED2" w:rsidRDefault="001663D7" w:rsidP="00126BD4">
      <w:pPr>
        <w:pStyle w:val="Akapitzlist"/>
        <w:numPr>
          <w:ilvl w:val="0"/>
          <w:numId w:val="30"/>
        </w:numPr>
        <w:spacing w:line="276" w:lineRule="auto"/>
      </w:pPr>
      <w:r w:rsidRPr="00140ED2">
        <w:t>Odbieranie komunikatów może następować poprzez:</w:t>
      </w:r>
    </w:p>
    <w:p w14:paraId="2742B62E" w14:textId="5129F637" w:rsidR="001663D7" w:rsidRPr="00140ED2" w:rsidRDefault="001663D7" w:rsidP="00126BD4">
      <w:pPr>
        <w:pStyle w:val="Akapitzlist"/>
        <w:numPr>
          <w:ilvl w:val="1"/>
          <w:numId w:val="30"/>
        </w:numPr>
        <w:spacing w:line="276" w:lineRule="auto"/>
      </w:pPr>
      <w:r w:rsidRPr="00140ED2">
        <w:t>stronę www - w każdym przypadku,</w:t>
      </w:r>
    </w:p>
    <w:p w14:paraId="4553CE77" w14:textId="398C843E" w:rsidR="001663D7" w:rsidRPr="00140ED2" w:rsidRDefault="001663D7" w:rsidP="00126BD4">
      <w:pPr>
        <w:pStyle w:val="Akapitzlist"/>
        <w:numPr>
          <w:ilvl w:val="1"/>
          <w:numId w:val="30"/>
        </w:numPr>
        <w:spacing w:line="276" w:lineRule="auto"/>
      </w:pPr>
      <w:r w:rsidRPr="00140ED2">
        <w:t>e-mail - jeśli w przesyłanym uprzednio komunikacie biznesowym podano adres e-mail do korespondencji,</w:t>
      </w:r>
    </w:p>
    <w:p w14:paraId="3B247735" w14:textId="002371E4" w:rsidR="001663D7" w:rsidRPr="00140ED2" w:rsidRDefault="001663D7" w:rsidP="00126BD4">
      <w:pPr>
        <w:pStyle w:val="Akapitzlist"/>
        <w:numPr>
          <w:ilvl w:val="1"/>
          <w:numId w:val="30"/>
        </w:numPr>
        <w:spacing w:line="276" w:lineRule="auto"/>
      </w:pPr>
      <w:r w:rsidRPr="00140ED2">
        <w:t>poprzez „</w:t>
      </w:r>
      <w:r w:rsidRPr="00906CF0">
        <w:t>pooling</w:t>
      </w:r>
      <w:r w:rsidRPr="00140ED2">
        <w:t>”, czyli poprzez odpytanie bramy B2A o paczkę z komunikatami poprzez interfejs niewizualny (</w:t>
      </w:r>
      <w:r w:rsidRPr="00906CF0">
        <w:t>webservice</w:t>
      </w:r>
      <w:r w:rsidRPr="00140ED2">
        <w:t xml:space="preserve"> po stronie bramy B2A) – jeśli w przesyłanym uprzednio komunikacie biznesowym podano atrybut „</w:t>
      </w:r>
      <w:proofErr w:type="spellStart"/>
      <w:r w:rsidRPr="00140ED2">
        <w:t>placowkaPodmiotu</w:t>
      </w:r>
      <w:proofErr w:type="spellEnd"/>
      <w:r w:rsidRPr="00140ED2">
        <w:t>”,</w:t>
      </w:r>
    </w:p>
    <w:p w14:paraId="00FE0D24" w14:textId="647012DF" w:rsidR="001663D7" w:rsidRPr="00140ED2" w:rsidRDefault="001663D7" w:rsidP="00126BD4">
      <w:pPr>
        <w:pStyle w:val="Akapitzlist"/>
        <w:numPr>
          <w:ilvl w:val="1"/>
          <w:numId w:val="30"/>
        </w:numPr>
        <w:spacing w:line="276" w:lineRule="auto"/>
      </w:pPr>
      <w:r w:rsidRPr="00140ED2">
        <w:t>wysłanie komunikatów do podmiotu przez interfejs niewizualny (</w:t>
      </w:r>
      <w:r w:rsidRPr="00906CF0">
        <w:t>webservice</w:t>
      </w:r>
      <w:r w:rsidRPr="00140ED2">
        <w:t xml:space="preserve"> po stronie systemu podmiotu). W tym celu podczas rejestracji lub aktualizacji podmiotu na PUESC należy wybrać sekcję kanały komunikacyjne. Jako typ kanału należy wskazać </w:t>
      </w:r>
      <w:r w:rsidRPr="00906CF0">
        <w:t>webservice</w:t>
      </w:r>
      <w:r w:rsidRPr="00140ED2">
        <w:t xml:space="preserve">-BCP i podać adres własnego </w:t>
      </w:r>
      <w:r w:rsidRPr="00906CF0">
        <w:t>webservice</w:t>
      </w:r>
      <w:r w:rsidRPr="00140ED2">
        <w:t>, na który komunikaty będą odsyłane, następnie należy wypełnić pozostałe pola oznaczone jako obowiązkowe.</w:t>
      </w:r>
    </w:p>
    <w:p w14:paraId="6FBE42DC" w14:textId="77777777" w:rsidR="00974F85" w:rsidRPr="00140ED2" w:rsidRDefault="005E2831" w:rsidP="00974F85">
      <w:pPr>
        <w:keepNext/>
        <w:spacing w:line="276" w:lineRule="auto"/>
        <w:jc w:val="center"/>
      </w:pPr>
      <w:r w:rsidRPr="00140ED2">
        <w:rPr>
          <w:noProof/>
          <w:lang w:eastAsia="en-GB"/>
        </w:rPr>
        <w:drawing>
          <wp:inline distT="0" distB="0" distL="0" distR="0" wp14:anchorId="0871309E" wp14:editId="6DF46D7B">
            <wp:extent cx="5371465" cy="3637915"/>
            <wp:effectExtent l="0" t="0" r="635" b="635"/>
            <wp:docPr id="3" name="Obraz 3" descr="Zrzut ekranu przedstawiający wybór kanału komunikacji w serwisie PU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1465" cy="3637915"/>
                    </a:xfrm>
                    <a:prstGeom prst="rect">
                      <a:avLst/>
                    </a:prstGeom>
                    <a:noFill/>
                  </pic:spPr>
                </pic:pic>
              </a:graphicData>
            </a:graphic>
          </wp:inline>
        </w:drawing>
      </w:r>
    </w:p>
    <w:p w14:paraId="19B4F0CA" w14:textId="24FF5E20" w:rsidR="00156802" w:rsidRPr="00140ED2" w:rsidRDefault="00974F85" w:rsidP="00974F85">
      <w:pPr>
        <w:pStyle w:val="Legenda"/>
        <w:jc w:val="center"/>
        <w:rPr>
          <w:sz w:val="22"/>
          <w:szCs w:val="22"/>
        </w:rPr>
      </w:pPr>
      <w:r w:rsidRPr="00140ED2">
        <w:rPr>
          <w:sz w:val="22"/>
          <w:szCs w:val="22"/>
        </w:rPr>
        <w:t xml:space="preserve">Rysunek </w:t>
      </w:r>
      <w:r w:rsidRPr="00140ED2">
        <w:rPr>
          <w:sz w:val="22"/>
          <w:szCs w:val="22"/>
        </w:rPr>
        <w:fldChar w:fldCharType="begin"/>
      </w:r>
      <w:r w:rsidRPr="00140ED2">
        <w:rPr>
          <w:sz w:val="22"/>
          <w:szCs w:val="22"/>
        </w:rPr>
        <w:instrText xml:space="preserve"> SEQ Figure \* ARABIC </w:instrText>
      </w:r>
      <w:r w:rsidRPr="00140ED2">
        <w:rPr>
          <w:sz w:val="22"/>
          <w:szCs w:val="22"/>
        </w:rPr>
        <w:fldChar w:fldCharType="separate"/>
      </w:r>
      <w:r w:rsidRPr="00140ED2">
        <w:rPr>
          <w:noProof/>
          <w:sz w:val="22"/>
          <w:szCs w:val="22"/>
        </w:rPr>
        <w:t>1</w:t>
      </w:r>
      <w:r w:rsidRPr="00140ED2">
        <w:rPr>
          <w:sz w:val="22"/>
          <w:szCs w:val="22"/>
        </w:rPr>
        <w:fldChar w:fldCharType="end"/>
      </w:r>
      <w:r w:rsidRPr="00140ED2">
        <w:rPr>
          <w:sz w:val="22"/>
          <w:szCs w:val="22"/>
        </w:rPr>
        <w:t xml:space="preserve"> Wybór kanału komunikacji w serwisie PUESC.</w:t>
      </w:r>
    </w:p>
    <w:p w14:paraId="2989EF71" w14:textId="285B113D" w:rsidR="001663D7" w:rsidRPr="00140ED2" w:rsidRDefault="001663D7" w:rsidP="00126BD4">
      <w:pPr>
        <w:pStyle w:val="Akapitzlist"/>
        <w:numPr>
          <w:ilvl w:val="0"/>
          <w:numId w:val="30"/>
        </w:numPr>
        <w:spacing w:line="276" w:lineRule="auto"/>
      </w:pPr>
      <w:r w:rsidRPr="00140ED2">
        <w:t>W przypadku chęci korzystania z interfejsu niewizualnego należy również pamiętać o konieczności uwzględnienia w oprogramowaniu podmiotu zmiany standardu bramy B2A w stosunku do interfejsu niewizualnego (ECS2/ICS) z JAX-RCP na JAX-WS.</w:t>
      </w:r>
    </w:p>
    <w:p w14:paraId="2BB398A2" w14:textId="5A6BAFCE" w:rsidR="00156802" w:rsidRPr="00140ED2" w:rsidRDefault="00156802" w:rsidP="00126BD4">
      <w:pPr>
        <w:spacing w:line="276" w:lineRule="auto"/>
      </w:pPr>
      <w:r w:rsidRPr="00140ED2">
        <w:br w:type="page"/>
      </w:r>
    </w:p>
    <w:p w14:paraId="23F34121" w14:textId="77777777" w:rsidR="001663D7" w:rsidRPr="00140ED2" w:rsidRDefault="001663D7" w:rsidP="00067133">
      <w:pPr>
        <w:pStyle w:val="Nagwek2"/>
      </w:pPr>
      <w:r w:rsidRPr="00140ED2">
        <w:lastRenderedPageBreak/>
        <w:t>Usługi bramy B2A:</w:t>
      </w:r>
    </w:p>
    <w:p w14:paraId="5FEDC63B" w14:textId="68319EE1" w:rsidR="001663D7" w:rsidRPr="00140ED2" w:rsidRDefault="001663D7" w:rsidP="00126BD4">
      <w:pPr>
        <w:pStyle w:val="Akapitzlist"/>
        <w:spacing w:line="276" w:lineRule="auto"/>
      </w:pPr>
      <w:r w:rsidRPr="00140ED2">
        <w:t>Obsługiwane kanały komunikacji:</w:t>
      </w:r>
    </w:p>
    <w:p w14:paraId="44B7C897" w14:textId="3FAA5214" w:rsidR="001663D7" w:rsidRPr="00140ED2" w:rsidRDefault="001663D7" w:rsidP="00126BD4">
      <w:pPr>
        <w:pStyle w:val="Akapitzlist"/>
        <w:numPr>
          <w:ilvl w:val="0"/>
          <w:numId w:val="32"/>
        </w:numPr>
        <w:spacing w:line="276" w:lineRule="auto"/>
      </w:pPr>
      <w:proofErr w:type="spellStart"/>
      <w:r w:rsidRPr="00140ED2">
        <w:rPr>
          <w:lang w:val="en-GB"/>
        </w:rPr>
        <w:t>WebService</w:t>
      </w:r>
      <w:proofErr w:type="spellEnd"/>
      <w:r w:rsidRPr="00140ED2">
        <w:t xml:space="preserve"> (SOAP):</w:t>
      </w:r>
    </w:p>
    <w:p w14:paraId="23538E4C" w14:textId="17A5801F" w:rsidR="001663D7" w:rsidRPr="00140ED2" w:rsidRDefault="001663D7" w:rsidP="00126BD4">
      <w:pPr>
        <w:pStyle w:val="Akapitzlist"/>
        <w:numPr>
          <w:ilvl w:val="1"/>
          <w:numId w:val="34"/>
        </w:numPr>
        <w:spacing w:line="276" w:lineRule="auto"/>
      </w:pPr>
      <w:r w:rsidRPr="00140ED2">
        <w:t>Środowisko produkcyjne-</w:t>
      </w:r>
      <w:r w:rsidR="00A104D8" w:rsidRPr="00140ED2">
        <w:t xml:space="preserve"> https://bcp.mf.gov.pl/bcpWS/BcpService</w:t>
      </w:r>
    </w:p>
    <w:p w14:paraId="5786B5C7" w14:textId="46B7DCA6" w:rsidR="001663D7" w:rsidRPr="00140ED2" w:rsidRDefault="001663D7" w:rsidP="00126BD4">
      <w:pPr>
        <w:pStyle w:val="Akapitzlist"/>
        <w:numPr>
          <w:ilvl w:val="1"/>
          <w:numId w:val="34"/>
        </w:numPr>
        <w:spacing w:line="276" w:lineRule="auto"/>
      </w:pPr>
      <w:r w:rsidRPr="00140ED2">
        <w:t xml:space="preserve">Środowisko testowe- </w:t>
      </w:r>
      <w:r w:rsidR="00A104D8" w:rsidRPr="00140ED2">
        <w:t>https://testbcp.mf.gov.pl/bcpWS/BcpService</w:t>
      </w:r>
    </w:p>
    <w:p w14:paraId="5570AB98" w14:textId="30E7EEF6" w:rsidR="001663D7" w:rsidRPr="00140ED2" w:rsidRDefault="001663D7" w:rsidP="00126BD4">
      <w:pPr>
        <w:pStyle w:val="Akapitzlist"/>
        <w:numPr>
          <w:ilvl w:val="0"/>
          <w:numId w:val="32"/>
        </w:numPr>
        <w:spacing w:line="276" w:lineRule="auto"/>
      </w:pPr>
      <w:r w:rsidRPr="00140ED2">
        <w:t>E-mail:</w:t>
      </w:r>
    </w:p>
    <w:p w14:paraId="7FD2A002" w14:textId="5FCBFA1C" w:rsidR="001663D7" w:rsidRPr="00140ED2" w:rsidRDefault="001663D7" w:rsidP="00126BD4">
      <w:pPr>
        <w:pStyle w:val="Akapitzlist"/>
        <w:numPr>
          <w:ilvl w:val="1"/>
          <w:numId w:val="35"/>
        </w:numPr>
        <w:spacing w:line="276" w:lineRule="auto"/>
      </w:pPr>
      <w:r w:rsidRPr="00140ED2">
        <w:t>Środowisko produkcyjne-</w:t>
      </w:r>
      <w:r w:rsidR="00A104D8" w:rsidRPr="00140ED2">
        <w:t xml:space="preserve"> </w:t>
      </w:r>
      <w:hyperlink r:id="rId11" w:history="1">
        <w:r w:rsidR="00156802" w:rsidRPr="00140ED2">
          <w:rPr>
            <w:rStyle w:val="Hipercze"/>
          </w:rPr>
          <w:t>inbox@bcp.mf.gov.pl</w:t>
        </w:r>
      </w:hyperlink>
    </w:p>
    <w:p w14:paraId="4E5166EF" w14:textId="529BF4FD" w:rsidR="001663D7" w:rsidRPr="00140ED2" w:rsidRDefault="001663D7" w:rsidP="00126BD4">
      <w:pPr>
        <w:pStyle w:val="Akapitzlist"/>
        <w:numPr>
          <w:ilvl w:val="1"/>
          <w:numId w:val="35"/>
        </w:numPr>
        <w:spacing w:line="276" w:lineRule="auto"/>
        <w:rPr>
          <w:rStyle w:val="Hipercze"/>
        </w:rPr>
      </w:pPr>
      <w:r w:rsidRPr="00140ED2">
        <w:t>Środowisko testowe-</w:t>
      </w:r>
      <w:r w:rsidR="00A104D8" w:rsidRPr="00140ED2">
        <w:t xml:space="preserve"> </w:t>
      </w:r>
      <w:r w:rsidR="00156802" w:rsidRPr="00140ED2">
        <w:rPr>
          <w:rStyle w:val="Hipercze"/>
        </w:rPr>
        <w:fldChar w:fldCharType="begin"/>
      </w:r>
      <w:r w:rsidR="00156802" w:rsidRPr="00140ED2">
        <w:rPr>
          <w:rStyle w:val="Hipercze"/>
        </w:rPr>
        <w:instrText xml:space="preserve"> HYPERLINK "mailto:test.inbox@bcp.mf.gov.pl" </w:instrText>
      </w:r>
      <w:r w:rsidR="00156802" w:rsidRPr="00140ED2">
        <w:rPr>
          <w:rStyle w:val="Hipercze"/>
        </w:rPr>
        <w:fldChar w:fldCharType="separate"/>
      </w:r>
      <w:r w:rsidRPr="00140ED2">
        <w:rPr>
          <w:rStyle w:val="Hipercze"/>
        </w:rPr>
        <w:t>test.inbox@bcp.mf.gov.pl</w:t>
      </w:r>
    </w:p>
    <w:p w14:paraId="296B01B0" w14:textId="0B9BCCDA" w:rsidR="001663D7" w:rsidRPr="00140ED2" w:rsidRDefault="00156802" w:rsidP="00126BD4">
      <w:pPr>
        <w:pStyle w:val="Akapitzlist"/>
        <w:numPr>
          <w:ilvl w:val="0"/>
          <w:numId w:val="32"/>
        </w:numPr>
        <w:spacing w:line="276" w:lineRule="auto"/>
      </w:pPr>
      <w:r w:rsidRPr="00140ED2">
        <w:rPr>
          <w:rStyle w:val="Hipercze"/>
        </w:rPr>
        <w:fldChar w:fldCharType="end"/>
      </w:r>
      <w:r w:rsidR="001663D7" w:rsidRPr="00140ED2">
        <w:t>Interfejs www</w:t>
      </w:r>
    </w:p>
    <w:p w14:paraId="026A453D" w14:textId="1FD47819" w:rsidR="001663D7" w:rsidRPr="00140ED2" w:rsidRDefault="001663D7" w:rsidP="00126BD4">
      <w:pPr>
        <w:pStyle w:val="Akapitzlist"/>
        <w:numPr>
          <w:ilvl w:val="1"/>
          <w:numId w:val="36"/>
        </w:numPr>
        <w:spacing w:line="276" w:lineRule="auto"/>
      </w:pPr>
      <w:r w:rsidRPr="00140ED2">
        <w:t xml:space="preserve">Środowisko produkcyjne - </w:t>
      </w:r>
      <w:hyperlink r:id="rId12" w:history="1">
        <w:r w:rsidRPr="00140ED2">
          <w:rPr>
            <w:rStyle w:val="Hipercze"/>
          </w:rPr>
          <w:t>https://bcp.mf.gov.pl/</w:t>
        </w:r>
      </w:hyperlink>
    </w:p>
    <w:p w14:paraId="41EEF333" w14:textId="0169968D" w:rsidR="001663D7" w:rsidRPr="00140ED2" w:rsidRDefault="001663D7" w:rsidP="00126BD4">
      <w:pPr>
        <w:pStyle w:val="Akapitzlist"/>
        <w:numPr>
          <w:ilvl w:val="1"/>
          <w:numId w:val="36"/>
        </w:numPr>
        <w:spacing w:line="276" w:lineRule="auto"/>
      </w:pPr>
      <w:r w:rsidRPr="00140ED2">
        <w:t xml:space="preserve">Środowisko testowe - </w:t>
      </w:r>
      <w:hyperlink r:id="rId13" w:history="1">
        <w:r w:rsidRPr="00140ED2">
          <w:rPr>
            <w:rStyle w:val="Hipercze"/>
          </w:rPr>
          <w:t>https://testbcp.mf.gov.pl/</w:t>
        </w:r>
      </w:hyperlink>
    </w:p>
    <w:p w14:paraId="26E16C3C" w14:textId="02BF2FF0" w:rsidR="001663D7" w:rsidRPr="00140ED2" w:rsidRDefault="001663D7" w:rsidP="00067133">
      <w:pPr>
        <w:pStyle w:val="Nagwek3"/>
        <w:spacing w:line="276" w:lineRule="auto"/>
        <w:ind w:left="0"/>
      </w:pPr>
      <w:r w:rsidRPr="00140ED2">
        <w:t>I.</w:t>
      </w:r>
      <w:r w:rsidRPr="00140ED2">
        <w:tab/>
        <w:t>Przesłanie komunikatu od podmiotu do systemu operacyjnego SISC</w:t>
      </w:r>
    </w:p>
    <w:p w14:paraId="372E2C18" w14:textId="77777777" w:rsidR="001663D7" w:rsidRPr="00140ED2" w:rsidRDefault="001663D7" w:rsidP="00126BD4">
      <w:pPr>
        <w:spacing w:line="276" w:lineRule="auto"/>
      </w:pPr>
      <w:r w:rsidRPr="00140ED2">
        <w:t xml:space="preserve">Reprezentant przygotowuje i jeżeli jest to wymagane podpisuje w systemie podmiotu (lub na stronie www) komunikat przeznaczony dla jednego z systemów operacyjnych SISC, a następnie wysyła. </w:t>
      </w:r>
    </w:p>
    <w:p w14:paraId="015E741B" w14:textId="77777777" w:rsidR="001663D7" w:rsidRPr="00140ED2" w:rsidRDefault="001663D7" w:rsidP="00126BD4">
      <w:pPr>
        <w:spacing w:line="276" w:lineRule="auto"/>
      </w:pPr>
      <w:r w:rsidRPr="00140ED2">
        <w:t>System podmiotu (lub interfejs www) wywołuje metodę "</w:t>
      </w:r>
      <w:r w:rsidRPr="00906CF0">
        <w:t>AcceptDocument</w:t>
      </w:r>
      <w:r w:rsidRPr="00140ED2">
        <w:t>" usługi "Gateway" bramy B2A. Jako parametr podane są:</w:t>
      </w:r>
    </w:p>
    <w:p w14:paraId="1F98EC0E" w14:textId="70B960A6" w:rsidR="001663D7" w:rsidRPr="00140ED2" w:rsidRDefault="001663D7" w:rsidP="00126BD4">
      <w:pPr>
        <w:pStyle w:val="Akapitzlist"/>
        <w:numPr>
          <w:ilvl w:val="0"/>
          <w:numId w:val="39"/>
        </w:numPr>
        <w:spacing w:line="276" w:lineRule="auto"/>
      </w:pPr>
      <w:r w:rsidRPr="00140ED2">
        <w:t>zawartość wysyłanego komunikatu (w postaci Base64)</w:t>
      </w:r>
    </w:p>
    <w:p w14:paraId="48A48A10" w14:textId="2B943B72" w:rsidR="001663D7" w:rsidRPr="00140ED2" w:rsidRDefault="001663D7" w:rsidP="00126BD4">
      <w:pPr>
        <w:pStyle w:val="Akapitzlist"/>
        <w:numPr>
          <w:ilvl w:val="0"/>
          <w:numId w:val="39"/>
        </w:numPr>
        <w:spacing w:line="276" w:lineRule="auto"/>
      </w:pPr>
      <w:r w:rsidRPr="00140ED2">
        <w:t>typ MIME</w:t>
      </w:r>
    </w:p>
    <w:p w14:paraId="6B5156E6" w14:textId="1927EBF8" w:rsidR="001663D7" w:rsidRPr="00140ED2" w:rsidRDefault="001663D7" w:rsidP="00126BD4">
      <w:pPr>
        <w:pStyle w:val="Akapitzlist"/>
        <w:numPr>
          <w:ilvl w:val="0"/>
          <w:numId w:val="39"/>
        </w:numPr>
        <w:spacing w:line="276" w:lineRule="auto"/>
      </w:pPr>
      <w:r w:rsidRPr="00140ED2">
        <w:t>opcjonalny opis</w:t>
      </w:r>
    </w:p>
    <w:p w14:paraId="2A7F97DD" w14:textId="1241C790" w:rsidR="001663D7" w:rsidRPr="00140ED2" w:rsidRDefault="001663D7" w:rsidP="00126BD4">
      <w:pPr>
        <w:pStyle w:val="Akapitzlist"/>
        <w:numPr>
          <w:ilvl w:val="0"/>
          <w:numId w:val="39"/>
        </w:numPr>
        <w:spacing w:line="276" w:lineRule="auto"/>
      </w:pPr>
      <w:r w:rsidRPr="00140ED2">
        <w:t xml:space="preserve">typ kompresji (tylko, jeśli użyto). </w:t>
      </w:r>
    </w:p>
    <w:p w14:paraId="7BF1B8BF" w14:textId="77777777" w:rsidR="001663D7" w:rsidRPr="00140ED2" w:rsidRDefault="001663D7" w:rsidP="00126BD4">
      <w:pPr>
        <w:spacing w:line="276" w:lineRule="auto"/>
      </w:pPr>
      <w:r w:rsidRPr="00140ED2">
        <w:t xml:space="preserve">Komunikat może być wysłany alternatywnie z systemu podmiotu za pomocą wiadomości e-mail - jest wtedy załącznikiem. Dopuszczalne jest też stosowanie wielu załączników- komunikatów w jednej wiadomości e-mail. </w:t>
      </w:r>
    </w:p>
    <w:p w14:paraId="33A057A3" w14:textId="0091A11B" w:rsidR="001663D7" w:rsidRPr="00140ED2" w:rsidRDefault="001663D7" w:rsidP="00126BD4">
      <w:pPr>
        <w:spacing w:line="276" w:lineRule="auto"/>
      </w:pPr>
      <w:r w:rsidRPr="00140ED2">
        <w:t>Brama B2A dokonuje jedynie następującej podstawowej weryfikacji komunikatu:</w:t>
      </w:r>
    </w:p>
    <w:p w14:paraId="294ED399" w14:textId="51F0B75E" w:rsidR="001663D7" w:rsidRPr="00140ED2" w:rsidRDefault="001663D7" w:rsidP="00126BD4">
      <w:pPr>
        <w:pStyle w:val="Akapitzlist"/>
        <w:numPr>
          <w:ilvl w:val="0"/>
          <w:numId w:val="38"/>
        </w:numPr>
        <w:spacing w:line="276" w:lineRule="auto"/>
      </w:pPr>
      <w:r w:rsidRPr="00140ED2">
        <w:t>Czy komunikat jest poprawnym dokumentem XML (</w:t>
      </w:r>
      <w:r w:rsidRPr="00906CF0">
        <w:t>well-formed</w:t>
      </w:r>
      <w:r w:rsidRPr="00140ED2">
        <w:t>).</w:t>
      </w:r>
    </w:p>
    <w:p w14:paraId="501854B8" w14:textId="1AB78584" w:rsidR="001663D7" w:rsidRPr="00140ED2" w:rsidRDefault="001663D7" w:rsidP="00126BD4">
      <w:pPr>
        <w:pStyle w:val="Akapitzlist"/>
        <w:numPr>
          <w:ilvl w:val="0"/>
          <w:numId w:val="38"/>
        </w:numPr>
        <w:spacing w:line="276" w:lineRule="auto"/>
      </w:pPr>
      <w:r w:rsidRPr="00140ED2">
        <w:t>Czy jest znanym komunikatem (sprawdzenie przestrzeni nazw i nazwy elementu głównego komunikatu).</w:t>
      </w:r>
    </w:p>
    <w:p w14:paraId="00C51B2D" w14:textId="4FD24D6A" w:rsidR="001663D7" w:rsidRPr="00140ED2" w:rsidRDefault="001663D7" w:rsidP="00126BD4">
      <w:pPr>
        <w:spacing w:line="276" w:lineRule="auto"/>
      </w:pPr>
      <w:r w:rsidRPr="00140ED2">
        <w:t>Po dokonaniu podstawowej weryfikacji brama B2A odpowiada synchronicznie - "</w:t>
      </w:r>
      <w:r w:rsidRPr="00906CF0">
        <w:t>AcceptDocumentResponse</w:t>
      </w:r>
      <w:r w:rsidRPr="00140ED2">
        <w:t>". W przypadku, gdy komunikat został przez bramę B2A odebrany, jako załącznik(i) wiadomości e-mail, do nadawcy wiadomości wysyłany jest e-mail z odpowiedzią (załącznikiem/załącznikami).</w:t>
      </w:r>
    </w:p>
    <w:p w14:paraId="24B04E2A" w14:textId="77777777" w:rsidR="001663D7" w:rsidRPr="00140ED2" w:rsidRDefault="001663D7" w:rsidP="00126BD4">
      <w:pPr>
        <w:spacing w:line="276" w:lineRule="auto"/>
      </w:pPr>
      <w:r w:rsidRPr="00140ED2">
        <w:t>Odpowiedź zawiera następujące techniczne informacje:</w:t>
      </w:r>
    </w:p>
    <w:p w14:paraId="1AB3594F" w14:textId="594B713C" w:rsidR="001663D7" w:rsidRPr="00140ED2" w:rsidRDefault="001663D7" w:rsidP="00126BD4">
      <w:pPr>
        <w:pStyle w:val="Akapitzlist"/>
        <w:numPr>
          <w:ilvl w:val="0"/>
          <w:numId w:val="37"/>
        </w:numPr>
        <w:spacing w:line="276" w:lineRule="auto"/>
      </w:pPr>
      <w:r w:rsidRPr="00140ED2">
        <w:t>Rezultat weryfikacji (przyjęto do dalszego przetwarzania lub odrzucono).</w:t>
      </w:r>
    </w:p>
    <w:p w14:paraId="6D75E594" w14:textId="29B9D5CA" w:rsidR="001663D7" w:rsidRPr="00140ED2" w:rsidRDefault="001663D7" w:rsidP="00126BD4">
      <w:pPr>
        <w:pStyle w:val="Akapitzlist"/>
        <w:numPr>
          <w:ilvl w:val="0"/>
          <w:numId w:val="37"/>
        </w:numPr>
        <w:spacing w:line="276" w:lineRule="auto"/>
      </w:pPr>
      <w:r w:rsidRPr="00140ED2">
        <w:t>Unikalny identyfikator "</w:t>
      </w:r>
      <w:proofErr w:type="spellStart"/>
      <w:r w:rsidRPr="00140ED2">
        <w:t>orderId</w:t>
      </w:r>
      <w:proofErr w:type="spellEnd"/>
      <w:r w:rsidRPr="00140ED2">
        <w:t>" nadany każdemu odbiorowi komunikatu przez bramę B2A.</w:t>
      </w:r>
    </w:p>
    <w:p w14:paraId="5EF557F6" w14:textId="504A947F" w:rsidR="001663D7" w:rsidRPr="00140ED2" w:rsidRDefault="001663D7" w:rsidP="00126BD4">
      <w:pPr>
        <w:pStyle w:val="Akapitzlist"/>
        <w:numPr>
          <w:ilvl w:val="0"/>
          <w:numId w:val="37"/>
        </w:numPr>
        <w:spacing w:line="276" w:lineRule="auto"/>
      </w:pPr>
      <w:r w:rsidRPr="00140ED2">
        <w:t>Skrót (</w:t>
      </w:r>
      <w:r w:rsidRPr="00906CF0">
        <w:t>hash</w:t>
      </w:r>
      <w:r w:rsidRPr="00140ED2">
        <w:t xml:space="preserve"> SHA-1) z odebranego komunikatu.</w:t>
      </w:r>
    </w:p>
    <w:p w14:paraId="77EAF8BF" w14:textId="6F88F94C" w:rsidR="001663D7" w:rsidRPr="00140ED2" w:rsidRDefault="001663D7" w:rsidP="00126BD4">
      <w:pPr>
        <w:spacing w:line="276" w:lineRule="auto"/>
      </w:pPr>
      <w:r w:rsidRPr="00140ED2">
        <w:lastRenderedPageBreak/>
        <w:t xml:space="preserve"> W przypadku pomyślnej weryfikacji brama B2A kieruje komunikat do odpowiedniego systemu operacyjnego SISC.</w:t>
      </w:r>
    </w:p>
    <w:p w14:paraId="0C55C06F" w14:textId="77777777" w:rsidR="001663D7" w:rsidRPr="00140ED2" w:rsidRDefault="001663D7" w:rsidP="00126BD4">
      <w:pPr>
        <w:spacing w:line="276" w:lineRule="auto"/>
      </w:pPr>
      <w:r w:rsidRPr="00140ED2">
        <w:t>System operacyjny SISC jest zobowiązany do natychmiastowego przyjęcia komunikatu (tj. bez weryfikacji) i synchronicznej odpowiedzi - "</w:t>
      </w:r>
      <w:r w:rsidRPr="00906CF0">
        <w:t>AcceptDocumentResponse</w:t>
      </w:r>
      <w:r w:rsidRPr="00140ED2">
        <w:t>". W przypadku problemów komunikacyjnych lub niedostępności systemu operacyjnego SISC, brama B2A jest zobowiązana do powtarzania przekazywania komunikatu aż do skutku.</w:t>
      </w:r>
    </w:p>
    <w:p w14:paraId="0ECCDC68" w14:textId="71875306" w:rsidR="001663D7" w:rsidRPr="00140ED2" w:rsidRDefault="001663D7" w:rsidP="00126BD4">
      <w:pPr>
        <w:spacing w:line="276" w:lineRule="auto"/>
      </w:pPr>
      <w:r w:rsidRPr="00140ED2">
        <w:t xml:space="preserve"> Za pełną weryfikację komunikatu odpowiada system operacyjny SISC po jego odbiorze (czyli po wysłaniu odpowiedzi "</w:t>
      </w:r>
      <w:r w:rsidRPr="00906CF0">
        <w:t>SISCGateway.AcceptDocumentResponse</w:t>
      </w:r>
      <w:r w:rsidRPr="00140ED2">
        <w:t>"). W konsekwencji biznesowa odpowiedź o przyjęciu lub odrzuceniu jest wysyłana  asynchronicznie.</w:t>
      </w:r>
    </w:p>
    <w:p w14:paraId="64302B5D" w14:textId="77777777" w:rsidR="001663D7" w:rsidRPr="00140ED2" w:rsidRDefault="001663D7" w:rsidP="00126BD4">
      <w:pPr>
        <w:spacing w:line="276" w:lineRule="auto"/>
      </w:pPr>
      <w:r w:rsidRPr="00140ED2">
        <w:t>W skład pełnej weryfikacji komunikatu wchodzi sprawdzenie:</w:t>
      </w:r>
    </w:p>
    <w:p w14:paraId="26FC87B9" w14:textId="4AD8B014" w:rsidR="001663D7" w:rsidRPr="00140ED2" w:rsidRDefault="001663D7" w:rsidP="00126BD4">
      <w:pPr>
        <w:pStyle w:val="Akapitzlist"/>
        <w:numPr>
          <w:ilvl w:val="0"/>
          <w:numId w:val="40"/>
        </w:numPr>
        <w:spacing w:line="276" w:lineRule="auto"/>
      </w:pPr>
      <w:r w:rsidRPr="00140ED2">
        <w:t>poprawności ze schematem,</w:t>
      </w:r>
    </w:p>
    <w:p w14:paraId="40EF7E20" w14:textId="55BC5DC4" w:rsidR="001663D7" w:rsidRPr="00140ED2" w:rsidRDefault="001663D7" w:rsidP="00126BD4">
      <w:pPr>
        <w:pStyle w:val="Akapitzlist"/>
        <w:numPr>
          <w:ilvl w:val="0"/>
          <w:numId w:val="40"/>
        </w:numPr>
        <w:spacing w:line="276" w:lineRule="auto"/>
      </w:pPr>
      <w:r w:rsidRPr="00140ED2">
        <w:t>wartości skodyfikowanych,</w:t>
      </w:r>
    </w:p>
    <w:p w14:paraId="3EC67B20" w14:textId="062F0638" w:rsidR="001663D7" w:rsidRPr="00140ED2" w:rsidRDefault="001663D7" w:rsidP="00126BD4">
      <w:pPr>
        <w:pStyle w:val="Akapitzlist"/>
        <w:numPr>
          <w:ilvl w:val="0"/>
          <w:numId w:val="40"/>
        </w:numPr>
        <w:spacing w:line="276" w:lineRule="auto"/>
      </w:pPr>
      <w:r w:rsidRPr="00140ED2">
        <w:t>podpisu elektronicznego,</w:t>
      </w:r>
    </w:p>
    <w:p w14:paraId="5F6E4ADF" w14:textId="1EFE21F2" w:rsidR="001663D7" w:rsidRPr="00140ED2" w:rsidRDefault="001663D7" w:rsidP="00126BD4">
      <w:pPr>
        <w:pStyle w:val="Akapitzlist"/>
        <w:numPr>
          <w:ilvl w:val="0"/>
          <w:numId w:val="40"/>
        </w:numPr>
        <w:spacing w:line="276" w:lineRule="auto"/>
      </w:pPr>
      <w:r w:rsidRPr="00140ED2">
        <w:t>uprawnień podpisanego reprezentanta do podmiotu,</w:t>
      </w:r>
    </w:p>
    <w:p w14:paraId="253B3B75" w14:textId="57FDBDC0" w:rsidR="001663D7" w:rsidRPr="00140ED2" w:rsidRDefault="001663D7" w:rsidP="00126BD4">
      <w:pPr>
        <w:pStyle w:val="Akapitzlist"/>
        <w:numPr>
          <w:ilvl w:val="0"/>
          <w:numId w:val="40"/>
        </w:numPr>
        <w:spacing w:line="276" w:lineRule="auto"/>
      </w:pPr>
      <w:r w:rsidRPr="00140ED2">
        <w:t>reguł biznesowych (publikowanych w specyfikacjach komunikatów SXML),</w:t>
      </w:r>
    </w:p>
    <w:p w14:paraId="6C64C74D" w14:textId="1802B379" w:rsidR="001663D7" w:rsidRPr="00140ED2" w:rsidRDefault="001663D7" w:rsidP="00126BD4">
      <w:pPr>
        <w:pStyle w:val="Akapitzlist"/>
        <w:numPr>
          <w:ilvl w:val="0"/>
          <w:numId w:val="40"/>
        </w:numPr>
        <w:spacing w:line="276" w:lineRule="auto"/>
      </w:pPr>
      <w:r w:rsidRPr="00140ED2">
        <w:t xml:space="preserve">innych reguł biznesowych przewidzianych przez system operacyjny SISC. </w:t>
      </w:r>
    </w:p>
    <w:p w14:paraId="2948173A" w14:textId="77777777" w:rsidR="001663D7" w:rsidRPr="00140ED2" w:rsidRDefault="001663D7" w:rsidP="00067133">
      <w:pPr>
        <w:pStyle w:val="Nagwek3"/>
        <w:spacing w:line="276" w:lineRule="auto"/>
        <w:ind w:left="0"/>
      </w:pPr>
      <w:r w:rsidRPr="00140ED2">
        <w:t xml:space="preserve">II. </w:t>
      </w:r>
      <w:r w:rsidRPr="00140ED2">
        <w:tab/>
        <w:t>Przesłanie komunikatu od systemu operacyjnego SISC do podmiotu</w:t>
      </w:r>
    </w:p>
    <w:p w14:paraId="2172A6C5" w14:textId="70F949EE" w:rsidR="001663D7" w:rsidRPr="00140ED2" w:rsidRDefault="001663D7" w:rsidP="00126BD4">
      <w:pPr>
        <w:spacing w:line="276" w:lineRule="auto"/>
      </w:pPr>
      <w:r w:rsidRPr="00140ED2">
        <w:t xml:space="preserve">Po odebraniu żądania wysłania komunikatu do podmiotu brama B2A pobiera komunikat </w:t>
      </w:r>
      <w:r w:rsidR="00B252C8" w:rsidRPr="00140ED2">
        <w:br/>
      </w:r>
      <w:r w:rsidRPr="00140ED2">
        <w:t>i załącznik do wysłania oraz pobiera dla wskazanego korespondenta (czyli podmiotu) zdefiniowane na PUESC kanały komunikacyjne.</w:t>
      </w:r>
    </w:p>
    <w:p w14:paraId="7F22C607" w14:textId="77777777" w:rsidR="001663D7" w:rsidRPr="00140ED2" w:rsidRDefault="001663D7" w:rsidP="00126BD4">
      <w:pPr>
        <w:spacing w:line="276" w:lineRule="auto"/>
      </w:pPr>
      <w:r w:rsidRPr="00140ED2">
        <w:t>W następnych krokach, dla wszystkich zarejestrowanych na PUESC oraz dostarczonych przez system operacyjny SISC kanałów komunikacyjnych, brama B2A dokonuje odpowiednich akcji.</w:t>
      </w:r>
    </w:p>
    <w:p w14:paraId="3C45519E" w14:textId="2696295F" w:rsidR="001663D7" w:rsidRPr="00140ED2" w:rsidRDefault="001663D7" w:rsidP="00126BD4">
      <w:pPr>
        <w:spacing w:line="276" w:lineRule="auto"/>
      </w:pPr>
      <w:r w:rsidRPr="00140ED2">
        <w:t xml:space="preserve"> Dla kanałów "</w:t>
      </w:r>
      <w:proofErr w:type="spellStart"/>
      <w:r w:rsidRPr="00140ED2">
        <w:t>webservice</w:t>
      </w:r>
      <w:proofErr w:type="spellEnd"/>
      <w:r w:rsidRPr="00140ED2">
        <w:t>-BCP" brama B2A wywołuje metodę "</w:t>
      </w:r>
      <w:proofErr w:type="spellStart"/>
      <w:r w:rsidRPr="00140ED2">
        <w:t>AcceptDocument</w:t>
      </w:r>
      <w:proofErr w:type="spellEnd"/>
      <w:r w:rsidRPr="00140ED2">
        <w:t>" usługi "</w:t>
      </w:r>
      <w:proofErr w:type="spellStart"/>
      <w:r w:rsidRPr="00140ED2">
        <w:t>TraderGateway</w:t>
      </w:r>
      <w:proofErr w:type="spellEnd"/>
      <w:r w:rsidRPr="00140ED2">
        <w:t xml:space="preserve">" udostępnionej przez system podmiotu. </w:t>
      </w:r>
    </w:p>
    <w:p w14:paraId="4A58FC08" w14:textId="77777777" w:rsidR="001663D7" w:rsidRPr="00140ED2" w:rsidRDefault="001663D7" w:rsidP="00126BD4">
      <w:pPr>
        <w:spacing w:line="276" w:lineRule="auto"/>
      </w:pPr>
      <w:r w:rsidRPr="00140ED2">
        <w:t>Jako parametr są przekazywane:</w:t>
      </w:r>
    </w:p>
    <w:p w14:paraId="52C98C62" w14:textId="73DE410A" w:rsidR="001663D7" w:rsidRPr="00140ED2" w:rsidRDefault="001663D7" w:rsidP="00126BD4">
      <w:pPr>
        <w:pStyle w:val="Akapitzlist"/>
        <w:numPr>
          <w:ilvl w:val="0"/>
          <w:numId w:val="41"/>
        </w:numPr>
        <w:spacing w:line="276" w:lineRule="auto"/>
      </w:pPr>
      <w:r w:rsidRPr="00140ED2">
        <w:t>zawartość wysyłanego komunikatu wraz z metadanymi,</w:t>
      </w:r>
    </w:p>
    <w:p w14:paraId="191B5E66" w14:textId="2430B66C" w:rsidR="001663D7" w:rsidRPr="00140ED2" w:rsidRDefault="001663D7" w:rsidP="00126BD4">
      <w:pPr>
        <w:pStyle w:val="Akapitzlist"/>
        <w:numPr>
          <w:ilvl w:val="0"/>
          <w:numId w:val="41"/>
        </w:numPr>
        <w:spacing w:line="276" w:lineRule="auto"/>
      </w:pPr>
      <w:r w:rsidRPr="00140ED2">
        <w:t>ewentualny dokument załącznika komunikatu wraz z metadanymi,</w:t>
      </w:r>
    </w:p>
    <w:p w14:paraId="4A013DE1" w14:textId="691134D0" w:rsidR="001663D7" w:rsidRPr="00140ED2" w:rsidRDefault="001663D7" w:rsidP="00126BD4">
      <w:pPr>
        <w:pStyle w:val="Akapitzlist"/>
        <w:numPr>
          <w:ilvl w:val="0"/>
          <w:numId w:val="41"/>
        </w:numPr>
        <w:spacing w:line="276" w:lineRule="auto"/>
      </w:pPr>
      <w:r w:rsidRPr="00140ED2">
        <w:t>jeśli komunikat jest zwrotny do odebranego wcześniej przez bramę B2A, wtedy dodawany jest oryginalny identyfikator odbioru w "</w:t>
      </w:r>
      <w:proofErr w:type="spellStart"/>
      <w:r w:rsidRPr="00140ED2">
        <w:t>correlationOrderId</w:t>
      </w:r>
      <w:proofErr w:type="spellEnd"/>
      <w:r w:rsidRPr="00140ED2">
        <w:t>".</w:t>
      </w:r>
    </w:p>
    <w:p w14:paraId="6D140BBF" w14:textId="77777777" w:rsidR="001663D7" w:rsidRPr="00140ED2" w:rsidRDefault="001663D7" w:rsidP="00126BD4">
      <w:pPr>
        <w:spacing w:line="276" w:lineRule="auto"/>
      </w:pPr>
      <w:r w:rsidRPr="00140ED2">
        <w:t>W odpowiedzi system podmiotu synchronicznie odpowiada za pomocą "</w:t>
      </w:r>
      <w:proofErr w:type="spellStart"/>
      <w:r w:rsidRPr="00140ED2">
        <w:t>TraderGateway.AcceptDocumentResponse</w:t>
      </w:r>
      <w:proofErr w:type="spellEnd"/>
      <w:r w:rsidRPr="00140ED2">
        <w:t>". W przypadku problemów komunikacyjnych lub niedostępności systemu podmiotu brama B2A jest zobowiązana do powtarzania przekazywania komunikatu określoną liczbę razy, co określony czas (parametry bramy B2A). Po zakończeniu powtórzeń bez sukcesu, ponowienie wysyłki jest możliwe na ręczne żądanie administratora bramy B2A.</w:t>
      </w:r>
    </w:p>
    <w:p w14:paraId="700511A1" w14:textId="1EE443B2" w:rsidR="001663D7" w:rsidRPr="00140ED2" w:rsidRDefault="001663D7" w:rsidP="00126BD4">
      <w:pPr>
        <w:spacing w:line="276" w:lineRule="auto"/>
      </w:pPr>
      <w:r w:rsidRPr="00140ED2">
        <w:lastRenderedPageBreak/>
        <w:t xml:space="preserve"> Dla kanałów "e-mail" brama B2A tworzy dla każdego komunikatu osobną wiadomość </w:t>
      </w:r>
      <w:r w:rsidR="00B252C8" w:rsidRPr="00140ED2">
        <w:br/>
      </w:r>
      <w:r w:rsidRPr="00140ED2">
        <w:t>i wysyła na skrzynkę zdefiniowaną w kanale (zawartość jak w przypadku kanału "</w:t>
      </w:r>
      <w:r w:rsidRPr="00906CF0">
        <w:t>webservice</w:t>
      </w:r>
      <w:r w:rsidRPr="00140ED2">
        <w:t>-BCP").</w:t>
      </w:r>
    </w:p>
    <w:p w14:paraId="5A55D7C5" w14:textId="35AE9C68" w:rsidR="001663D7" w:rsidRPr="00140ED2" w:rsidRDefault="001663D7" w:rsidP="00126BD4">
      <w:pPr>
        <w:spacing w:line="276" w:lineRule="auto"/>
      </w:pPr>
      <w:r w:rsidRPr="00140ED2">
        <w:t xml:space="preserve"> Niezależnie od kanałów przypisanych podmiotowi/zleconych przez system operacyjny SISC, system podmiotu może pobrać komunikaty metodą </w:t>
      </w:r>
      <w:r w:rsidRPr="00906CF0">
        <w:t>polling</w:t>
      </w:r>
      <w:r w:rsidRPr="00140ED2">
        <w:t>'u.</w:t>
      </w:r>
    </w:p>
    <w:p w14:paraId="66388437" w14:textId="45E78EF7" w:rsidR="001663D7" w:rsidRPr="00140ED2" w:rsidRDefault="001663D7" w:rsidP="00126BD4">
      <w:pPr>
        <w:spacing w:line="276" w:lineRule="auto"/>
      </w:pPr>
      <w:r w:rsidRPr="00140ED2">
        <w:t xml:space="preserve">Finalnie podmiot zobaczy przekazane z systemu operacyjnego SISC komunikaty </w:t>
      </w:r>
      <w:r w:rsidR="00B252C8" w:rsidRPr="00140ED2">
        <w:br/>
      </w:r>
      <w:r w:rsidRPr="00140ED2">
        <w:t>w systemie  podmiotu.</w:t>
      </w:r>
    </w:p>
    <w:p w14:paraId="0DD0A969" w14:textId="77777777" w:rsidR="001663D7" w:rsidRPr="00140ED2" w:rsidRDefault="001663D7" w:rsidP="00067133">
      <w:pPr>
        <w:pStyle w:val="Nagwek3"/>
        <w:spacing w:line="276" w:lineRule="auto"/>
        <w:ind w:left="0"/>
      </w:pPr>
      <w:r w:rsidRPr="00140ED2">
        <w:t>III.</w:t>
      </w:r>
      <w:r w:rsidRPr="00140ED2">
        <w:tab/>
        <w:t>Pobranie komunikatów zwrotnych</w:t>
      </w:r>
    </w:p>
    <w:p w14:paraId="2844F82E" w14:textId="77777777" w:rsidR="001663D7" w:rsidRPr="00140ED2" w:rsidRDefault="001663D7" w:rsidP="00126BD4">
      <w:pPr>
        <w:spacing w:line="276" w:lineRule="auto"/>
      </w:pPr>
      <w:r w:rsidRPr="00140ED2">
        <w:t>Jeśli system podmiotu nie udostępnia usługi "</w:t>
      </w:r>
      <w:proofErr w:type="spellStart"/>
      <w:r w:rsidRPr="00140ED2">
        <w:t>TraderGateway</w:t>
      </w:r>
      <w:proofErr w:type="spellEnd"/>
      <w:r w:rsidRPr="00140ED2">
        <w:t xml:space="preserve">" ani nie implementuje komunikacji e-mail, wtedy ma możliwość pobrania komunikatów od systemów operacyjnych SISC poprzez odpytanie bramy B2A (tzw. </w:t>
      </w:r>
      <w:r w:rsidRPr="00906CF0">
        <w:t>polling</w:t>
      </w:r>
      <w:r w:rsidRPr="00140ED2">
        <w:t>). Opcja ta jest zawsze dostępna, niezależnie od przypisanych podmiotowi kanałów komunikacyjnych na PUESC.</w:t>
      </w:r>
    </w:p>
    <w:p w14:paraId="6C59E396" w14:textId="77777777" w:rsidR="001663D7" w:rsidRPr="00140ED2" w:rsidRDefault="001663D7" w:rsidP="00126BD4">
      <w:pPr>
        <w:spacing w:line="276" w:lineRule="auto"/>
      </w:pPr>
      <w:r w:rsidRPr="00140ED2">
        <w:t>Reprezentant w czasie pracy z systemem podmiotu decyduje o pobraniu wcześniej niepobranych komunikatów kierowanych od systemów operacyjnych SISC do podmiotu.</w:t>
      </w:r>
    </w:p>
    <w:p w14:paraId="317D1DD1" w14:textId="64725F46" w:rsidR="001663D7" w:rsidRPr="00140ED2" w:rsidRDefault="001663D7" w:rsidP="00126BD4">
      <w:pPr>
        <w:spacing w:line="276" w:lineRule="auto"/>
      </w:pPr>
      <w:r w:rsidRPr="00140ED2">
        <w:t>System podmiotu wywołuje metodę "</w:t>
      </w:r>
      <w:r w:rsidRPr="00906CF0">
        <w:t>GetDocuments</w:t>
      </w:r>
      <w:r w:rsidRPr="00140ED2">
        <w:t xml:space="preserve">" usługi "Gateway" bramy B2A </w:t>
      </w:r>
      <w:r w:rsidR="00B252C8" w:rsidRPr="00140ED2">
        <w:br/>
      </w:r>
      <w:r w:rsidRPr="00140ED2">
        <w:t>z następującymi parametrami:</w:t>
      </w:r>
    </w:p>
    <w:p w14:paraId="27EDB883" w14:textId="6F70CF74" w:rsidR="001663D7" w:rsidRPr="00140ED2" w:rsidRDefault="001663D7" w:rsidP="00126BD4">
      <w:pPr>
        <w:pStyle w:val="Akapitzlist"/>
        <w:numPr>
          <w:ilvl w:val="0"/>
          <w:numId w:val="42"/>
        </w:numPr>
        <w:spacing w:line="276" w:lineRule="auto"/>
      </w:pPr>
      <w:r w:rsidRPr="00140ED2">
        <w:t>opcjonalną datą określającą, od kiedy należy wykrywać nie pobrane jeszcze komunikaty (gdy nie podano stosuje się domyślną datę),</w:t>
      </w:r>
    </w:p>
    <w:p w14:paraId="65CC4E68" w14:textId="2DCAE8AF" w:rsidR="001663D7" w:rsidRPr="00140ED2" w:rsidRDefault="001663D7" w:rsidP="00126BD4">
      <w:pPr>
        <w:pStyle w:val="Akapitzlist"/>
        <w:numPr>
          <w:ilvl w:val="0"/>
          <w:numId w:val="42"/>
        </w:numPr>
        <w:spacing w:line="276" w:lineRule="auto"/>
      </w:pPr>
      <w:r w:rsidRPr="00140ED2">
        <w:t>identyfikator podmiotu</w:t>
      </w:r>
    </w:p>
    <w:p w14:paraId="69E8DD4C" w14:textId="1DB8EEB1" w:rsidR="001663D7" w:rsidRPr="00140ED2" w:rsidRDefault="001663D7" w:rsidP="00126BD4">
      <w:pPr>
        <w:pStyle w:val="Akapitzlist"/>
        <w:numPr>
          <w:ilvl w:val="0"/>
          <w:numId w:val="42"/>
        </w:numPr>
        <w:spacing w:line="276" w:lineRule="auto"/>
      </w:pPr>
      <w:r w:rsidRPr="00140ED2">
        <w:t>placówka podmiotu.</w:t>
      </w:r>
    </w:p>
    <w:p w14:paraId="257E8D92" w14:textId="77777777" w:rsidR="001663D7" w:rsidRPr="00140ED2" w:rsidRDefault="001663D7" w:rsidP="00126BD4">
      <w:pPr>
        <w:spacing w:line="276" w:lineRule="auto"/>
      </w:pPr>
      <w:r w:rsidRPr="00140ED2">
        <w:t xml:space="preserve">Dodatkowo wywołanie metody wymaga podania loginu i hasła reprezentanta. </w:t>
      </w:r>
    </w:p>
    <w:p w14:paraId="0309CF2B" w14:textId="77777777" w:rsidR="001663D7" w:rsidRPr="00140ED2" w:rsidRDefault="001663D7" w:rsidP="00126BD4">
      <w:pPr>
        <w:spacing w:line="276" w:lineRule="auto"/>
      </w:pPr>
      <w:r w:rsidRPr="00140ED2">
        <w:t>Brama B2A dokonuje autentykacji reprezentanta oraz sprawdza jego uprawnienia do działania na rzecz wskazanego podmiotu według reprezentacji zdefiniowanych na PUESC.</w:t>
      </w:r>
    </w:p>
    <w:p w14:paraId="2A5D4FC8" w14:textId="77777777" w:rsidR="001663D7" w:rsidRPr="00140ED2" w:rsidRDefault="001663D7" w:rsidP="00126BD4">
      <w:pPr>
        <w:spacing w:line="276" w:lineRule="auto"/>
      </w:pPr>
      <w:r w:rsidRPr="00140ED2">
        <w:t>Brama B2A zachowuje informację o pobranych na rzecz danego podmiotu komunikatów by następnym razem już ich nie brać pod uwagę. Zbiorowi pobranych komunikatów nadawany jest również kolejny identyfikator tzw. numer paczki.</w:t>
      </w:r>
    </w:p>
    <w:p w14:paraId="6A485AA4" w14:textId="12BDF938" w:rsidR="001663D7" w:rsidRPr="00140ED2" w:rsidRDefault="001663D7" w:rsidP="00126BD4">
      <w:pPr>
        <w:spacing w:line="276" w:lineRule="auto"/>
      </w:pPr>
      <w:r w:rsidRPr="00140ED2">
        <w:t xml:space="preserve"> Finalnie brama B2A odpowiada synchronicznie przez "</w:t>
      </w:r>
      <w:proofErr w:type="spellStart"/>
      <w:r w:rsidRPr="00140ED2">
        <w:t>GetDocumentsResponse</w:t>
      </w:r>
      <w:proofErr w:type="spellEnd"/>
      <w:r w:rsidRPr="00140ED2">
        <w:t xml:space="preserve">" </w:t>
      </w:r>
    </w:p>
    <w:p w14:paraId="74CA2DE0" w14:textId="77777777" w:rsidR="001663D7" w:rsidRPr="00140ED2" w:rsidRDefault="001663D7" w:rsidP="00126BD4">
      <w:pPr>
        <w:spacing w:line="276" w:lineRule="auto"/>
      </w:pPr>
      <w:r w:rsidRPr="00140ED2">
        <w:t>z następującą zawartością:</w:t>
      </w:r>
    </w:p>
    <w:p w14:paraId="0B4EE496" w14:textId="3FDDF7EC" w:rsidR="001663D7" w:rsidRPr="00140ED2" w:rsidRDefault="001663D7" w:rsidP="00126BD4">
      <w:pPr>
        <w:pStyle w:val="Akapitzlist"/>
        <w:numPr>
          <w:ilvl w:val="0"/>
          <w:numId w:val="43"/>
        </w:numPr>
        <w:spacing w:line="276" w:lineRule="auto"/>
      </w:pPr>
      <w:r w:rsidRPr="00140ED2">
        <w:t>pobrane komunikaty wraz ewentualnymi załącznikami oraz ich metadane,</w:t>
      </w:r>
    </w:p>
    <w:p w14:paraId="6CA40BDB" w14:textId="712AE64E" w:rsidR="001663D7" w:rsidRPr="00140ED2" w:rsidRDefault="001663D7" w:rsidP="00126BD4">
      <w:pPr>
        <w:pStyle w:val="Akapitzlist"/>
        <w:numPr>
          <w:ilvl w:val="0"/>
          <w:numId w:val="43"/>
        </w:numPr>
        <w:spacing w:line="276" w:lineRule="auto"/>
      </w:pPr>
      <w:r w:rsidRPr="00140ED2">
        <w:t>jeśli komunikat jest zwrotny do odebranego wcześniej przez bramę B2A, wtedy dodawany jest oryginalny identyfikator odbioru w "</w:t>
      </w:r>
      <w:proofErr w:type="spellStart"/>
      <w:r w:rsidRPr="00140ED2">
        <w:t>correlationOrderId</w:t>
      </w:r>
      <w:proofErr w:type="spellEnd"/>
      <w:r w:rsidRPr="00140ED2">
        <w:t>",</w:t>
      </w:r>
    </w:p>
    <w:p w14:paraId="6C67C7B1" w14:textId="3BD5FB67" w:rsidR="001663D7" w:rsidRPr="00140ED2" w:rsidRDefault="001663D7" w:rsidP="00126BD4">
      <w:pPr>
        <w:pStyle w:val="Akapitzlist"/>
        <w:numPr>
          <w:ilvl w:val="0"/>
          <w:numId w:val="43"/>
        </w:numPr>
        <w:spacing w:line="276" w:lineRule="auto"/>
      </w:pPr>
      <w:r w:rsidRPr="00140ED2">
        <w:t>kolejny numer paczki nadany komunikatom.</w:t>
      </w:r>
    </w:p>
    <w:p w14:paraId="6464CA4F" w14:textId="77777777" w:rsidR="001663D7" w:rsidRPr="00140ED2" w:rsidRDefault="001663D7" w:rsidP="00126BD4">
      <w:pPr>
        <w:spacing w:line="276" w:lineRule="auto"/>
      </w:pPr>
      <w:r w:rsidRPr="00140ED2">
        <w:t xml:space="preserve">Liczba pobranych jednym żądaniem komunikatów jest ograniczona pod względem ilości </w:t>
      </w:r>
    </w:p>
    <w:p w14:paraId="09B22007" w14:textId="77777777" w:rsidR="001663D7" w:rsidRPr="00140ED2" w:rsidRDefault="001663D7" w:rsidP="00126BD4">
      <w:pPr>
        <w:spacing w:line="276" w:lineRule="auto"/>
      </w:pPr>
      <w:r w:rsidRPr="00140ED2">
        <w:t>i wielkości.</w:t>
      </w:r>
    </w:p>
    <w:p w14:paraId="11837287" w14:textId="77777777" w:rsidR="001663D7" w:rsidRPr="00140ED2" w:rsidRDefault="001663D7" w:rsidP="00126BD4">
      <w:pPr>
        <w:spacing w:line="276" w:lineRule="auto"/>
      </w:pPr>
      <w:r w:rsidRPr="00140ED2">
        <w:t>W pobranej paczce będzie informacja o istniejących jeszcze komunikatach do pobrania.</w:t>
      </w:r>
    </w:p>
    <w:p w14:paraId="3689CCCB" w14:textId="77777777" w:rsidR="001663D7" w:rsidRPr="00140ED2" w:rsidRDefault="001663D7" w:rsidP="00126BD4">
      <w:pPr>
        <w:spacing w:line="276" w:lineRule="auto"/>
      </w:pPr>
      <w:r w:rsidRPr="00140ED2">
        <w:t xml:space="preserve">W przypadku wystąpienia błędu autentykacji, autoryzacji przetwarzanie jest przerywane </w:t>
      </w:r>
    </w:p>
    <w:p w14:paraId="5F8265C8" w14:textId="77777777" w:rsidR="001663D7" w:rsidRPr="00140ED2" w:rsidRDefault="001663D7" w:rsidP="00126BD4">
      <w:pPr>
        <w:spacing w:line="276" w:lineRule="auto"/>
      </w:pPr>
      <w:r w:rsidRPr="00140ED2">
        <w:lastRenderedPageBreak/>
        <w:t>i zwracana stosowna informacja o błędzie.</w:t>
      </w:r>
    </w:p>
    <w:p w14:paraId="71901386" w14:textId="77777777" w:rsidR="001663D7" w:rsidRPr="00140ED2" w:rsidRDefault="001663D7" w:rsidP="00126BD4">
      <w:pPr>
        <w:spacing w:line="276" w:lineRule="auto"/>
      </w:pPr>
      <w:r w:rsidRPr="00140ED2">
        <w:t>Dodatkowo może również po stronie systemu podmiotu zaistnieć potrzeba ponownego pobrania paczki/paczek komunikatów. Służy do tego metoda "</w:t>
      </w:r>
      <w:proofErr w:type="spellStart"/>
      <w:r w:rsidRPr="00140ED2">
        <w:t>GetLostDocuments</w:t>
      </w:r>
      <w:proofErr w:type="spellEnd"/>
      <w:r w:rsidRPr="00140ED2">
        <w:t xml:space="preserve">" usługi "Gateway" bramy B2A. Jako parametr wywołania podaje się numer paczki i identyfikator podmiotu, a w rezultacie otrzymuje się komunikaty żądanej paczki. </w:t>
      </w:r>
    </w:p>
    <w:p w14:paraId="3F49DEE3" w14:textId="77777777" w:rsidR="001663D7" w:rsidRPr="00140ED2" w:rsidRDefault="001663D7" w:rsidP="00067133">
      <w:pPr>
        <w:pStyle w:val="Nagwek3"/>
        <w:spacing w:line="276" w:lineRule="auto"/>
        <w:ind w:left="0"/>
      </w:pPr>
      <w:r w:rsidRPr="00140ED2">
        <w:t>IV.</w:t>
      </w:r>
      <w:r w:rsidRPr="00140ED2">
        <w:tab/>
        <w:t>Sprawdzenie stanu obsługi komunikatu</w:t>
      </w:r>
    </w:p>
    <w:p w14:paraId="490D17A2" w14:textId="77777777" w:rsidR="001663D7" w:rsidRPr="00140ED2" w:rsidRDefault="001663D7" w:rsidP="00126BD4">
      <w:pPr>
        <w:spacing w:line="276" w:lineRule="auto"/>
      </w:pPr>
      <w:r w:rsidRPr="00140ED2">
        <w:t>Jeżeli system działa prawidłowo biznesowe potwierdzenie/odrzucenie przyjęcia komunikatu powinno nadejść z systemu operacyjnego SISC w relatywnie krótkim czasie, jako asynchroniczna odpowiedź (lub być możliwe do pobrania).</w:t>
      </w:r>
    </w:p>
    <w:p w14:paraId="282D4C68" w14:textId="77777777" w:rsidR="001663D7" w:rsidRPr="00140ED2" w:rsidRDefault="001663D7" w:rsidP="00126BD4">
      <w:pPr>
        <w:spacing w:line="276" w:lineRule="auto"/>
      </w:pPr>
      <w:r w:rsidRPr="00140ED2">
        <w:t>Możliwe są jednak sytuacje nietypowe z następującymi konsekwencjami:</w:t>
      </w:r>
    </w:p>
    <w:p w14:paraId="6CD8F870" w14:textId="0644CFA7" w:rsidR="001663D7" w:rsidRPr="00140ED2" w:rsidRDefault="004448AF" w:rsidP="00126BD4">
      <w:pPr>
        <w:pStyle w:val="Akapitzlist"/>
        <w:numPr>
          <w:ilvl w:val="0"/>
          <w:numId w:val="44"/>
        </w:numPr>
        <w:spacing w:line="276" w:lineRule="auto"/>
      </w:pPr>
      <w:r w:rsidRPr="00140ED2">
        <w:t>s</w:t>
      </w:r>
      <w:r w:rsidR="001663D7" w:rsidRPr="00140ED2">
        <w:t>ystem operacyjny SISC nie działa/jest wyłączony, wtedy odrzucenie komunikatu nie nadejdzie od razu ale po kilku próbach wysłania komunikatu</w:t>
      </w:r>
      <w:r w:rsidRPr="00140ED2">
        <w:t>,</w:t>
      </w:r>
    </w:p>
    <w:p w14:paraId="5ABFC58A" w14:textId="3BC39B88" w:rsidR="001663D7" w:rsidRPr="00140ED2" w:rsidRDefault="004448AF" w:rsidP="00126BD4">
      <w:pPr>
        <w:pStyle w:val="Akapitzlist"/>
        <w:numPr>
          <w:ilvl w:val="0"/>
          <w:numId w:val="44"/>
        </w:numPr>
        <w:spacing w:line="276" w:lineRule="auto"/>
      </w:pPr>
      <w:r w:rsidRPr="00140ED2">
        <w:t>s</w:t>
      </w:r>
      <w:r w:rsidR="001663D7" w:rsidRPr="00140ED2">
        <w:t>ystem operacyjny SISC wykrył, że podpisany reprezentant nie może działać na rzecz podmiotu, wtedy odpowiedź nie nadejdzie.</w:t>
      </w:r>
    </w:p>
    <w:p w14:paraId="4341398A" w14:textId="77777777" w:rsidR="001663D7" w:rsidRPr="00140ED2" w:rsidRDefault="001663D7" w:rsidP="00126BD4">
      <w:pPr>
        <w:spacing w:line="276" w:lineRule="auto"/>
      </w:pPr>
      <w:r w:rsidRPr="00140ED2">
        <w:t>Reprezentant może w sytuacji braku biznesowej odpowiedzi zażądać sprawdzenia stanu obsługi wysłanego komunikatu. System podmiotu / interfejs www wywołuje metodę "</w:t>
      </w:r>
      <w:proofErr w:type="spellStart"/>
      <w:r w:rsidRPr="00140ED2">
        <w:t>GetAcceptDocumentStatus</w:t>
      </w:r>
      <w:proofErr w:type="spellEnd"/>
      <w:r w:rsidRPr="00140ED2">
        <w:t>" usługi "Gateway". Jako parametr podawany jest "</w:t>
      </w:r>
      <w:proofErr w:type="spellStart"/>
      <w:r w:rsidRPr="00140ED2">
        <w:t>orderId</w:t>
      </w:r>
      <w:proofErr w:type="spellEnd"/>
      <w:r w:rsidRPr="00140ED2">
        <w:t>" otrzymany w potwierdzeniu technicznym.</w:t>
      </w:r>
    </w:p>
    <w:p w14:paraId="6C3C338F" w14:textId="77777777" w:rsidR="001663D7" w:rsidRPr="00140ED2" w:rsidRDefault="001663D7" w:rsidP="00126BD4">
      <w:pPr>
        <w:spacing w:line="276" w:lineRule="auto"/>
      </w:pPr>
      <w:r w:rsidRPr="00140ED2">
        <w:t>Brama B2A sprawdza status komunikacji z systemem operacyjnym SISC na zadany "</w:t>
      </w:r>
      <w:proofErr w:type="spellStart"/>
      <w:r w:rsidRPr="00140ED2">
        <w:t>orderId</w:t>
      </w:r>
      <w:proofErr w:type="spellEnd"/>
      <w:r w:rsidRPr="00140ED2">
        <w:t>" oraz czy istnieje już pierwszy komunikat zwrotny i jeśli tak to synchronicznie zwracany jest jako odpowiedź w komunikacie "</w:t>
      </w:r>
      <w:proofErr w:type="spellStart"/>
      <w:r w:rsidRPr="00140ED2">
        <w:t>GetAcceptDocumentStatusResponse</w:t>
      </w:r>
      <w:proofErr w:type="spellEnd"/>
      <w:r w:rsidRPr="00140ED2">
        <w:t>".</w:t>
      </w:r>
    </w:p>
    <w:p w14:paraId="09F3CC07" w14:textId="10E256D6" w:rsidR="001663D7" w:rsidRPr="00140ED2" w:rsidRDefault="001663D7" w:rsidP="00126BD4">
      <w:pPr>
        <w:spacing w:line="276" w:lineRule="auto"/>
        <w:rPr>
          <w:b/>
        </w:rPr>
      </w:pPr>
      <w:r w:rsidRPr="00140ED2">
        <w:rPr>
          <w:b/>
        </w:rPr>
        <w:t>Uwaga!</w:t>
      </w:r>
    </w:p>
    <w:p w14:paraId="68E6CF5B" w14:textId="4CEFB289" w:rsidR="001663D7" w:rsidRPr="00140ED2" w:rsidRDefault="001663D7" w:rsidP="00126BD4">
      <w:pPr>
        <w:spacing w:line="276" w:lineRule="auto"/>
      </w:pPr>
      <w:r w:rsidRPr="00140ED2">
        <w:rPr>
          <w:b/>
        </w:rPr>
        <w:t>Dodatkowe informacje można uzyskać przesyłając wiadomość e-mail z kwestiami do wyjaśnienia na adres:</w:t>
      </w:r>
      <w:r w:rsidRPr="00140ED2">
        <w:t xml:space="preserve"> </w:t>
      </w:r>
      <w:hyperlink r:id="rId14" w:history="1">
        <w:r w:rsidR="0041586C" w:rsidRPr="00140ED2">
          <w:rPr>
            <w:rStyle w:val="Hipercze"/>
          </w:rPr>
          <w:t>aes.ais.projekt@mf.gov.pl</w:t>
        </w:r>
      </w:hyperlink>
    </w:p>
    <w:sectPr w:rsidR="001663D7" w:rsidRPr="00140ED2" w:rsidSect="00D844E7">
      <w:headerReference w:type="even" r:id="rId15"/>
      <w:headerReference w:type="default" r:id="rId16"/>
      <w:footerReference w:type="even" r:id="rId17"/>
      <w:footerReference w:type="default" r:id="rId18"/>
      <w:headerReference w:type="first" r:id="rId19"/>
      <w:footerReference w:type="first" r:id="rId20"/>
      <w:pgSz w:w="11906" w:h="16838"/>
      <w:pgMar w:top="1985" w:right="1417" w:bottom="1417" w:left="1417" w:header="714" w:footer="5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5F56" w14:textId="77777777" w:rsidR="00766ABB" w:rsidRDefault="00766ABB" w:rsidP="00D92C74">
      <w:pPr>
        <w:spacing w:after="0" w:line="240" w:lineRule="auto"/>
      </w:pPr>
      <w:r>
        <w:separator/>
      </w:r>
    </w:p>
  </w:endnote>
  <w:endnote w:type="continuationSeparator" w:id="0">
    <w:p w14:paraId="033045D9" w14:textId="77777777" w:rsidR="00766ABB" w:rsidRDefault="00766ABB" w:rsidP="00D9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65DE" w14:textId="77777777" w:rsidR="00906CF0" w:rsidRDefault="00906CF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508344"/>
      <w:docPartObj>
        <w:docPartGallery w:val="Page Numbers (Bottom of Page)"/>
        <w:docPartUnique/>
      </w:docPartObj>
    </w:sdtPr>
    <w:sdtContent>
      <w:p w14:paraId="7F310786" w14:textId="0C8F02D4" w:rsidR="00906CF0" w:rsidRDefault="00906CF0" w:rsidP="00906CF0">
        <w:pPr>
          <w:pStyle w:val="Stopk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0D50" w14:textId="77777777" w:rsidR="005E53DF" w:rsidRDefault="005E53DF">
    <w:pPr>
      <w:pStyle w:val="Stopka"/>
    </w:pPr>
    <w:r>
      <w:rPr>
        <w:noProof/>
        <w:lang w:val="en-GB" w:eastAsia="en-GB"/>
      </w:rPr>
      <w:drawing>
        <wp:inline distT="0" distB="0" distL="0" distR="0" wp14:anchorId="7B0CDD62" wp14:editId="2C86E31C">
          <wp:extent cx="5401310" cy="518160"/>
          <wp:effectExtent l="0" t="0" r="8890" b="0"/>
          <wp:docPr id="46" name="Obraz 46" descr="logo funduszy europejskich, logo ministerstwa finansów i 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Obraz 46" descr="logo funduszy europejskich, logo ministerstwa finansów i 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5181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6570" w14:textId="77777777" w:rsidR="00766ABB" w:rsidRDefault="00766ABB" w:rsidP="00D92C74">
      <w:pPr>
        <w:spacing w:after="0" w:line="240" w:lineRule="auto"/>
      </w:pPr>
      <w:r>
        <w:separator/>
      </w:r>
    </w:p>
  </w:footnote>
  <w:footnote w:type="continuationSeparator" w:id="0">
    <w:p w14:paraId="55489320" w14:textId="77777777" w:rsidR="00766ABB" w:rsidRDefault="00766ABB" w:rsidP="00D92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237D" w14:textId="77777777" w:rsidR="00906CF0" w:rsidRDefault="00906CF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E3D7" w14:textId="77777777" w:rsidR="00906CF0" w:rsidRDefault="00906CF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B7AE" w14:textId="0B2055BC" w:rsidR="002F1D8E" w:rsidRDefault="00906CF0" w:rsidP="00906CF0">
    <w:pPr>
      <w:spacing w:after="0" w:line="240" w:lineRule="auto"/>
      <w:rPr>
        <w:rFonts w:cs="Arial"/>
        <w:sz w:val="20"/>
        <w:szCs w:val="20"/>
      </w:rPr>
    </w:pPr>
    <w:bookmarkStart w:id="0" w:name="_Toc46926486"/>
    <w:bookmarkStart w:id="1" w:name="_Hlk54348084"/>
    <w:bookmarkStart w:id="2" w:name="_Hlk54348085"/>
    <w:r>
      <w:rPr>
        <w:noProof/>
        <w:lang w:val="en-GB" w:eastAsia="en-GB"/>
      </w:rPr>
      <w:drawing>
        <wp:inline distT="0" distB="0" distL="0" distR="0" wp14:anchorId="7285CB56" wp14:editId="11D68B5F">
          <wp:extent cx="3186007" cy="650123"/>
          <wp:effectExtent l="0" t="0" r="0" b="0"/>
          <wp:docPr id="2" name="Obraz 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552"/>
    <w:multiLevelType w:val="hybridMultilevel"/>
    <w:tmpl w:val="CD84B630"/>
    <w:lvl w:ilvl="0" w:tplc="0415000F">
      <w:start w:val="1"/>
      <w:numFmt w:val="decimal"/>
      <w:lvlText w:val="%1."/>
      <w:lvlJc w:val="left"/>
      <w:pPr>
        <w:ind w:left="720" w:hanging="360"/>
      </w:pPr>
    </w:lvl>
    <w:lvl w:ilvl="1" w:tplc="E2207C88">
      <w:start w:val="1"/>
      <w:numFmt w:val="bullet"/>
      <w:lvlText w:val=""/>
      <w:lvlJc w:val="left"/>
      <w:pPr>
        <w:ind w:left="1440" w:hanging="360"/>
      </w:pPr>
      <w:rPr>
        <w:rFonts w:ascii="Symbol" w:hAnsi="Symbol"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57CDB"/>
    <w:multiLevelType w:val="hybridMultilevel"/>
    <w:tmpl w:val="8BC474BA"/>
    <w:lvl w:ilvl="0" w:tplc="A080BE3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1B32B4"/>
    <w:multiLevelType w:val="hybridMultilevel"/>
    <w:tmpl w:val="B5040D30"/>
    <w:lvl w:ilvl="0" w:tplc="0415000F">
      <w:start w:val="1"/>
      <w:numFmt w:val="decimal"/>
      <w:lvlText w:val="%1."/>
      <w:lvlJc w:val="left"/>
      <w:pPr>
        <w:ind w:left="720" w:hanging="360"/>
      </w:pPr>
    </w:lvl>
    <w:lvl w:ilvl="1" w:tplc="87F4034E">
      <w:start w:val="2"/>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454A59"/>
    <w:multiLevelType w:val="hybridMultilevel"/>
    <w:tmpl w:val="FF26F83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D897AF4"/>
    <w:multiLevelType w:val="hybridMultilevel"/>
    <w:tmpl w:val="82CAF9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11493F56"/>
    <w:multiLevelType w:val="hybridMultilevel"/>
    <w:tmpl w:val="014068B4"/>
    <w:lvl w:ilvl="0" w:tplc="87F4034E">
      <w:start w:val="2"/>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524228"/>
    <w:multiLevelType w:val="hybridMultilevel"/>
    <w:tmpl w:val="88D6F25A"/>
    <w:lvl w:ilvl="0" w:tplc="886C266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62C4A"/>
    <w:multiLevelType w:val="hybridMultilevel"/>
    <w:tmpl w:val="BE6CCC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730A6E"/>
    <w:multiLevelType w:val="hybridMultilevel"/>
    <w:tmpl w:val="B1EC3FA2"/>
    <w:lvl w:ilvl="0" w:tplc="1CA8CE42">
      <w:start w:val="1"/>
      <w:numFmt w:val="decimal"/>
      <w:lvlText w:val="%1)"/>
      <w:lvlJc w:val="left"/>
      <w:pPr>
        <w:ind w:left="360" w:hanging="360"/>
      </w:pPr>
      <w:rPr>
        <w:rFonts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9784399"/>
    <w:multiLevelType w:val="multilevel"/>
    <w:tmpl w:val="1DB4C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FF7A52"/>
    <w:multiLevelType w:val="hybridMultilevel"/>
    <w:tmpl w:val="F8AA1E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72D96"/>
    <w:multiLevelType w:val="hybridMultilevel"/>
    <w:tmpl w:val="F8CC71BA"/>
    <w:lvl w:ilvl="0" w:tplc="87F4034E">
      <w:start w:val="2"/>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2A2999"/>
    <w:multiLevelType w:val="hybridMultilevel"/>
    <w:tmpl w:val="5E14BD9C"/>
    <w:lvl w:ilvl="0" w:tplc="56DC90B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332860"/>
    <w:multiLevelType w:val="hybridMultilevel"/>
    <w:tmpl w:val="35EC1CA0"/>
    <w:lvl w:ilvl="0" w:tplc="886C266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4A678D"/>
    <w:multiLevelType w:val="hybridMultilevel"/>
    <w:tmpl w:val="030E9C20"/>
    <w:lvl w:ilvl="0" w:tplc="87F4034E">
      <w:start w:val="2"/>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48554E"/>
    <w:multiLevelType w:val="hybridMultilevel"/>
    <w:tmpl w:val="CB0E91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5F7ABE"/>
    <w:multiLevelType w:val="hybridMultilevel"/>
    <w:tmpl w:val="5A04D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594121"/>
    <w:multiLevelType w:val="hybridMultilevel"/>
    <w:tmpl w:val="9C12EF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81F6F02"/>
    <w:multiLevelType w:val="hybridMultilevel"/>
    <w:tmpl w:val="C472D9E2"/>
    <w:lvl w:ilvl="0" w:tplc="D2A80AA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CD7617E"/>
    <w:multiLevelType w:val="hybridMultilevel"/>
    <w:tmpl w:val="EFFC50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D37AF"/>
    <w:multiLevelType w:val="hybridMultilevel"/>
    <w:tmpl w:val="02A6F9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71017BF"/>
    <w:multiLevelType w:val="hybridMultilevel"/>
    <w:tmpl w:val="61FC8A8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AAB7158"/>
    <w:multiLevelType w:val="hybridMultilevel"/>
    <w:tmpl w:val="0EAE7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3616FE"/>
    <w:multiLevelType w:val="hybridMultilevel"/>
    <w:tmpl w:val="8D880B3A"/>
    <w:lvl w:ilvl="0" w:tplc="886C266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F13423"/>
    <w:multiLevelType w:val="hybridMultilevel"/>
    <w:tmpl w:val="C2C6C8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403F7125"/>
    <w:multiLevelType w:val="hybridMultilevel"/>
    <w:tmpl w:val="B4A47B32"/>
    <w:lvl w:ilvl="0" w:tplc="1CA8CE42">
      <w:start w:val="1"/>
      <w:numFmt w:val="decimal"/>
      <w:lvlText w:val="%1)"/>
      <w:lvlJc w:val="left"/>
      <w:pPr>
        <w:ind w:left="360" w:hanging="360"/>
      </w:pPr>
      <w:rPr>
        <w:rFonts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85570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036792E"/>
    <w:multiLevelType w:val="hybridMultilevel"/>
    <w:tmpl w:val="644E975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2A0171"/>
    <w:multiLevelType w:val="hybridMultilevel"/>
    <w:tmpl w:val="01A4361A"/>
    <w:lvl w:ilvl="0" w:tplc="87F4034E">
      <w:start w:val="2"/>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D6547E"/>
    <w:multiLevelType w:val="hybridMultilevel"/>
    <w:tmpl w:val="60225934"/>
    <w:lvl w:ilvl="0" w:tplc="4A16B51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2303BA"/>
    <w:multiLevelType w:val="hybridMultilevel"/>
    <w:tmpl w:val="4AB454D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54C83F13"/>
    <w:multiLevelType w:val="hybridMultilevel"/>
    <w:tmpl w:val="340657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7807E5"/>
    <w:multiLevelType w:val="hybridMultilevel"/>
    <w:tmpl w:val="FDC40B1E"/>
    <w:lvl w:ilvl="0" w:tplc="1CA8CE42">
      <w:start w:val="1"/>
      <w:numFmt w:val="decimal"/>
      <w:lvlText w:val="%1)"/>
      <w:lvlJc w:val="left"/>
      <w:pPr>
        <w:ind w:left="360" w:hanging="360"/>
      </w:pPr>
      <w:rPr>
        <w:rFonts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82E3586"/>
    <w:multiLevelType w:val="hybridMultilevel"/>
    <w:tmpl w:val="148A3B8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15:restartNumberingAfterBreak="0">
    <w:nsid w:val="583D6958"/>
    <w:multiLevelType w:val="hybridMultilevel"/>
    <w:tmpl w:val="54FCBBA4"/>
    <w:lvl w:ilvl="0" w:tplc="A080BE3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5" w15:restartNumberingAfterBreak="0">
    <w:nsid w:val="5A1D4900"/>
    <w:multiLevelType w:val="hybridMultilevel"/>
    <w:tmpl w:val="A43AD75C"/>
    <w:lvl w:ilvl="0" w:tplc="87F4034E">
      <w:start w:val="2"/>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4410AC"/>
    <w:multiLevelType w:val="hybridMultilevel"/>
    <w:tmpl w:val="A9DE516E"/>
    <w:lvl w:ilvl="0" w:tplc="87F4034E">
      <w:start w:val="2"/>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EC577A"/>
    <w:multiLevelType w:val="hybridMultilevel"/>
    <w:tmpl w:val="77AC8E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8BA03BE"/>
    <w:multiLevelType w:val="hybridMultilevel"/>
    <w:tmpl w:val="A09279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C201BD"/>
    <w:multiLevelType w:val="hybridMultilevel"/>
    <w:tmpl w:val="CEA66E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A657159"/>
    <w:multiLevelType w:val="hybridMultilevel"/>
    <w:tmpl w:val="6D54D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CFE2246"/>
    <w:multiLevelType w:val="hybridMultilevel"/>
    <w:tmpl w:val="3A84287E"/>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6DDD7EBD"/>
    <w:multiLevelType w:val="hybridMultilevel"/>
    <w:tmpl w:val="FC3E966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15:restartNumberingAfterBreak="0">
    <w:nsid w:val="730D10CC"/>
    <w:multiLevelType w:val="hybridMultilevel"/>
    <w:tmpl w:val="0ED0A840"/>
    <w:lvl w:ilvl="0" w:tplc="0415000F">
      <w:start w:val="1"/>
      <w:numFmt w:val="decimal"/>
      <w:lvlText w:val="%1."/>
      <w:lvlJc w:val="left"/>
      <w:pPr>
        <w:ind w:left="720" w:hanging="360"/>
      </w:pPr>
    </w:lvl>
    <w:lvl w:ilvl="1" w:tplc="E2207C88">
      <w:start w:val="1"/>
      <w:numFmt w:val="bullet"/>
      <w:lvlText w:val=""/>
      <w:lvlJc w:val="left"/>
      <w:pPr>
        <w:ind w:left="1440" w:hanging="360"/>
      </w:pPr>
      <w:rPr>
        <w:rFonts w:ascii="Symbol" w:hAnsi="Symbol"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8"/>
  </w:num>
  <w:num w:numId="3">
    <w:abstractNumId w:val="18"/>
  </w:num>
  <w:num w:numId="4">
    <w:abstractNumId w:val="12"/>
  </w:num>
  <w:num w:numId="5">
    <w:abstractNumId w:val="41"/>
  </w:num>
  <w:num w:numId="6">
    <w:abstractNumId w:val="38"/>
  </w:num>
  <w:num w:numId="7">
    <w:abstractNumId w:val="7"/>
  </w:num>
  <w:num w:numId="8">
    <w:abstractNumId w:val="10"/>
  </w:num>
  <w:num w:numId="9">
    <w:abstractNumId w:val="20"/>
  </w:num>
  <w:num w:numId="10">
    <w:abstractNumId w:val="27"/>
  </w:num>
  <w:num w:numId="11">
    <w:abstractNumId w:val="17"/>
  </w:num>
  <w:num w:numId="12">
    <w:abstractNumId w:val="40"/>
  </w:num>
  <w:num w:numId="13">
    <w:abstractNumId w:val="25"/>
  </w:num>
  <w:num w:numId="14">
    <w:abstractNumId w:val="39"/>
  </w:num>
  <w:num w:numId="15">
    <w:abstractNumId w:val="32"/>
  </w:num>
  <w:num w:numId="16">
    <w:abstractNumId w:val="15"/>
  </w:num>
  <w:num w:numId="17">
    <w:abstractNumId w:val="29"/>
  </w:num>
  <w:num w:numId="18">
    <w:abstractNumId w:val="6"/>
  </w:num>
  <w:num w:numId="19">
    <w:abstractNumId w:val="16"/>
  </w:num>
  <w:num w:numId="20">
    <w:abstractNumId w:val="5"/>
  </w:num>
  <w:num w:numId="21">
    <w:abstractNumId w:val="35"/>
  </w:num>
  <w:num w:numId="22">
    <w:abstractNumId w:val="14"/>
  </w:num>
  <w:num w:numId="23">
    <w:abstractNumId w:val="36"/>
  </w:num>
  <w:num w:numId="24">
    <w:abstractNumId w:val="13"/>
  </w:num>
  <w:num w:numId="25">
    <w:abstractNumId w:val="1"/>
  </w:num>
  <w:num w:numId="26">
    <w:abstractNumId w:val="23"/>
  </w:num>
  <w:num w:numId="27">
    <w:abstractNumId w:val="34"/>
  </w:num>
  <w:num w:numId="28">
    <w:abstractNumId w:val="11"/>
  </w:num>
  <w:num w:numId="29">
    <w:abstractNumId w:val="28"/>
  </w:num>
  <w:num w:numId="30">
    <w:abstractNumId w:val="19"/>
  </w:num>
  <w:num w:numId="31">
    <w:abstractNumId w:val="26"/>
  </w:num>
  <w:num w:numId="32">
    <w:abstractNumId w:val="31"/>
  </w:num>
  <w:num w:numId="33">
    <w:abstractNumId w:val="9"/>
  </w:num>
  <w:num w:numId="34">
    <w:abstractNumId w:val="2"/>
  </w:num>
  <w:num w:numId="35">
    <w:abstractNumId w:val="0"/>
  </w:num>
  <w:num w:numId="36">
    <w:abstractNumId w:val="43"/>
  </w:num>
  <w:num w:numId="37">
    <w:abstractNumId w:val="24"/>
  </w:num>
  <w:num w:numId="38">
    <w:abstractNumId w:val="33"/>
  </w:num>
  <w:num w:numId="39">
    <w:abstractNumId w:val="4"/>
  </w:num>
  <w:num w:numId="40">
    <w:abstractNumId w:val="42"/>
  </w:num>
  <w:num w:numId="41">
    <w:abstractNumId w:val="22"/>
  </w:num>
  <w:num w:numId="42">
    <w:abstractNumId w:val="30"/>
  </w:num>
  <w:num w:numId="43">
    <w:abstractNumId w:val="3"/>
  </w:num>
  <w:num w:numId="4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DF"/>
    <w:rsid w:val="00044E33"/>
    <w:rsid w:val="00050A7E"/>
    <w:rsid w:val="000612BA"/>
    <w:rsid w:val="00067133"/>
    <w:rsid w:val="0007011B"/>
    <w:rsid w:val="00070220"/>
    <w:rsid w:val="00082064"/>
    <w:rsid w:val="000876AE"/>
    <w:rsid w:val="0009500C"/>
    <w:rsid w:val="000B56B3"/>
    <w:rsid w:val="000C3DD8"/>
    <w:rsid w:val="000D26CE"/>
    <w:rsid w:val="000E54AD"/>
    <w:rsid w:val="00126BD4"/>
    <w:rsid w:val="00140ED2"/>
    <w:rsid w:val="00150AA3"/>
    <w:rsid w:val="00156802"/>
    <w:rsid w:val="001663D7"/>
    <w:rsid w:val="001735FF"/>
    <w:rsid w:val="00196CA1"/>
    <w:rsid w:val="001A3342"/>
    <w:rsid w:val="001B12C5"/>
    <w:rsid w:val="001C0E6F"/>
    <w:rsid w:val="001E112F"/>
    <w:rsid w:val="00232FC3"/>
    <w:rsid w:val="00242AD2"/>
    <w:rsid w:val="0025146C"/>
    <w:rsid w:val="002552F4"/>
    <w:rsid w:val="00284570"/>
    <w:rsid w:val="00292245"/>
    <w:rsid w:val="00293498"/>
    <w:rsid w:val="002B25EA"/>
    <w:rsid w:val="002B48B5"/>
    <w:rsid w:val="002C69F3"/>
    <w:rsid w:val="002F1D8E"/>
    <w:rsid w:val="002F4632"/>
    <w:rsid w:val="002F5A3F"/>
    <w:rsid w:val="00304EE1"/>
    <w:rsid w:val="00320A03"/>
    <w:rsid w:val="003533EB"/>
    <w:rsid w:val="00367266"/>
    <w:rsid w:val="003714DC"/>
    <w:rsid w:val="0037465C"/>
    <w:rsid w:val="003747E2"/>
    <w:rsid w:val="00375BF6"/>
    <w:rsid w:val="003C1BCF"/>
    <w:rsid w:val="003C244F"/>
    <w:rsid w:val="003E58C0"/>
    <w:rsid w:val="003F15A8"/>
    <w:rsid w:val="003F1711"/>
    <w:rsid w:val="003F5302"/>
    <w:rsid w:val="0041586C"/>
    <w:rsid w:val="00423233"/>
    <w:rsid w:val="004448AF"/>
    <w:rsid w:val="004478A8"/>
    <w:rsid w:val="004543A2"/>
    <w:rsid w:val="004559E0"/>
    <w:rsid w:val="004644EC"/>
    <w:rsid w:val="00464DE7"/>
    <w:rsid w:val="004723AE"/>
    <w:rsid w:val="004734B5"/>
    <w:rsid w:val="004815E8"/>
    <w:rsid w:val="00490EA4"/>
    <w:rsid w:val="004A3BD4"/>
    <w:rsid w:val="004C4D16"/>
    <w:rsid w:val="004C6F84"/>
    <w:rsid w:val="004F0E26"/>
    <w:rsid w:val="00513E8B"/>
    <w:rsid w:val="0053279A"/>
    <w:rsid w:val="00546BFA"/>
    <w:rsid w:val="00551AEC"/>
    <w:rsid w:val="00552FCC"/>
    <w:rsid w:val="005E2831"/>
    <w:rsid w:val="005E53DF"/>
    <w:rsid w:val="00600163"/>
    <w:rsid w:val="0061624A"/>
    <w:rsid w:val="006233DB"/>
    <w:rsid w:val="006332C6"/>
    <w:rsid w:val="00643A03"/>
    <w:rsid w:val="00663BF2"/>
    <w:rsid w:val="00682955"/>
    <w:rsid w:val="00685979"/>
    <w:rsid w:val="00690827"/>
    <w:rsid w:val="0069620F"/>
    <w:rsid w:val="006B0BB2"/>
    <w:rsid w:val="006C65FA"/>
    <w:rsid w:val="006E4097"/>
    <w:rsid w:val="006E5673"/>
    <w:rsid w:val="006F469B"/>
    <w:rsid w:val="006F7FB6"/>
    <w:rsid w:val="00700A66"/>
    <w:rsid w:val="00702C93"/>
    <w:rsid w:val="007069D3"/>
    <w:rsid w:val="007216BA"/>
    <w:rsid w:val="0073798B"/>
    <w:rsid w:val="00766ABB"/>
    <w:rsid w:val="0077314E"/>
    <w:rsid w:val="007911BF"/>
    <w:rsid w:val="00792F3F"/>
    <w:rsid w:val="00793D9F"/>
    <w:rsid w:val="00797B7B"/>
    <w:rsid w:val="007A1304"/>
    <w:rsid w:val="007B49F9"/>
    <w:rsid w:val="007D1742"/>
    <w:rsid w:val="007E027F"/>
    <w:rsid w:val="007E169F"/>
    <w:rsid w:val="007E4E3C"/>
    <w:rsid w:val="007F06F1"/>
    <w:rsid w:val="007F29E4"/>
    <w:rsid w:val="0080601D"/>
    <w:rsid w:val="00840D6F"/>
    <w:rsid w:val="008A03AE"/>
    <w:rsid w:val="008A1C94"/>
    <w:rsid w:val="008C2126"/>
    <w:rsid w:val="008C4718"/>
    <w:rsid w:val="008D621F"/>
    <w:rsid w:val="008D6F89"/>
    <w:rsid w:val="00906194"/>
    <w:rsid w:val="00906CF0"/>
    <w:rsid w:val="009134E1"/>
    <w:rsid w:val="00913CE0"/>
    <w:rsid w:val="00937D8D"/>
    <w:rsid w:val="009422A2"/>
    <w:rsid w:val="009544A2"/>
    <w:rsid w:val="00961F6D"/>
    <w:rsid w:val="00964201"/>
    <w:rsid w:val="00964CB3"/>
    <w:rsid w:val="00974F85"/>
    <w:rsid w:val="00983D7A"/>
    <w:rsid w:val="009A0C33"/>
    <w:rsid w:val="009A4062"/>
    <w:rsid w:val="009B0F97"/>
    <w:rsid w:val="009F5F67"/>
    <w:rsid w:val="00A00454"/>
    <w:rsid w:val="00A104D8"/>
    <w:rsid w:val="00A15468"/>
    <w:rsid w:val="00A204A3"/>
    <w:rsid w:val="00A62217"/>
    <w:rsid w:val="00A62B42"/>
    <w:rsid w:val="00A72529"/>
    <w:rsid w:val="00A82593"/>
    <w:rsid w:val="00A8777D"/>
    <w:rsid w:val="00AA0F04"/>
    <w:rsid w:val="00AB08EA"/>
    <w:rsid w:val="00AB366D"/>
    <w:rsid w:val="00AC2D16"/>
    <w:rsid w:val="00AF71EC"/>
    <w:rsid w:val="00AF7CC6"/>
    <w:rsid w:val="00B0268B"/>
    <w:rsid w:val="00B24C9F"/>
    <w:rsid w:val="00B252C8"/>
    <w:rsid w:val="00B756FE"/>
    <w:rsid w:val="00B82A5B"/>
    <w:rsid w:val="00BA725A"/>
    <w:rsid w:val="00BA7884"/>
    <w:rsid w:val="00BB4875"/>
    <w:rsid w:val="00BB6BF5"/>
    <w:rsid w:val="00BC7A7D"/>
    <w:rsid w:val="00C169D5"/>
    <w:rsid w:val="00C21B40"/>
    <w:rsid w:val="00C37535"/>
    <w:rsid w:val="00C93F86"/>
    <w:rsid w:val="00C96953"/>
    <w:rsid w:val="00CA0685"/>
    <w:rsid w:val="00CA078F"/>
    <w:rsid w:val="00CC4751"/>
    <w:rsid w:val="00D032F8"/>
    <w:rsid w:val="00D10CFA"/>
    <w:rsid w:val="00D2098D"/>
    <w:rsid w:val="00D226F8"/>
    <w:rsid w:val="00D27D44"/>
    <w:rsid w:val="00D47789"/>
    <w:rsid w:val="00D57938"/>
    <w:rsid w:val="00D7758E"/>
    <w:rsid w:val="00D844E7"/>
    <w:rsid w:val="00D90836"/>
    <w:rsid w:val="00D92C74"/>
    <w:rsid w:val="00DB6FD3"/>
    <w:rsid w:val="00DC4FF5"/>
    <w:rsid w:val="00DD005B"/>
    <w:rsid w:val="00DD3C30"/>
    <w:rsid w:val="00DD5A94"/>
    <w:rsid w:val="00DF5518"/>
    <w:rsid w:val="00DF7260"/>
    <w:rsid w:val="00E03C8B"/>
    <w:rsid w:val="00E25EDB"/>
    <w:rsid w:val="00E67EB3"/>
    <w:rsid w:val="00E76C33"/>
    <w:rsid w:val="00E90D42"/>
    <w:rsid w:val="00E9693B"/>
    <w:rsid w:val="00EA0758"/>
    <w:rsid w:val="00EB3A19"/>
    <w:rsid w:val="00EC787B"/>
    <w:rsid w:val="00ED01B9"/>
    <w:rsid w:val="00ED17BE"/>
    <w:rsid w:val="00ED42C7"/>
    <w:rsid w:val="00EF1025"/>
    <w:rsid w:val="00F04191"/>
    <w:rsid w:val="00F15294"/>
    <w:rsid w:val="00F21D11"/>
    <w:rsid w:val="00F242CC"/>
    <w:rsid w:val="00F25C10"/>
    <w:rsid w:val="00F42B1B"/>
    <w:rsid w:val="00F45A11"/>
    <w:rsid w:val="00F96484"/>
    <w:rsid w:val="00FA271C"/>
    <w:rsid w:val="00FA29A3"/>
    <w:rsid w:val="00FA6AA4"/>
    <w:rsid w:val="00FD64B4"/>
    <w:rsid w:val="00FE0279"/>
    <w:rsid w:val="00FE3AEF"/>
    <w:rsid w:val="00FF380A"/>
    <w:rsid w:val="00FF64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86BD0"/>
  <w15:docId w15:val="{2660B9FB-45C3-498D-A5A0-F5A62A7E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A03"/>
    <w:rPr>
      <w:rFonts w:ascii="Arial" w:hAnsi="Arial"/>
    </w:rPr>
  </w:style>
  <w:style w:type="paragraph" w:styleId="Nagwek1">
    <w:name w:val="heading 1"/>
    <w:basedOn w:val="Nagwek2"/>
    <w:next w:val="Normalny"/>
    <w:link w:val="Nagwek1Znak"/>
    <w:uiPriority w:val="9"/>
    <w:qFormat/>
    <w:rsid w:val="00BB6BF5"/>
    <w:pPr>
      <w:outlineLvl w:val="0"/>
    </w:pPr>
    <w:rPr>
      <w:sz w:val="42"/>
      <w:szCs w:val="42"/>
    </w:rPr>
  </w:style>
  <w:style w:type="paragraph" w:styleId="Nagwek2">
    <w:name w:val="heading 2"/>
    <w:basedOn w:val="Normalny"/>
    <w:next w:val="Normalny"/>
    <w:link w:val="Nagwek2Znak"/>
    <w:uiPriority w:val="9"/>
    <w:unhideWhenUsed/>
    <w:qFormat/>
    <w:rsid w:val="00284570"/>
    <w:pPr>
      <w:keepNext/>
      <w:keepLines/>
      <w:spacing w:before="240" w:after="120"/>
      <w:outlineLvl w:val="1"/>
    </w:pPr>
    <w:rPr>
      <w:rFonts w:eastAsia="Times New Roman" w:cs="Arial"/>
      <w:b/>
      <w:bCs/>
      <w:color w:val="333333"/>
      <w:kern w:val="36"/>
      <w:sz w:val="28"/>
      <w:szCs w:val="28"/>
      <w:lang w:eastAsia="pl-PL"/>
    </w:rPr>
  </w:style>
  <w:style w:type="paragraph" w:styleId="Nagwek3">
    <w:name w:val="heading 3"/>
    <w:basedOn w:val="Normalny"/>
    <w:next w:val="Normalny"/>
    <w:link w:val="Nagwek3Znak"/>
    <w:uiPriority w:val="9"/>
    <w:unhideWhenUsed/>
    <w:qFormat/>
    <w:rsid w:val="00284570"/>
    <w:pPr>
      <w:keepNext/>
      <w:keepLines/>
      <w:spacing w:before="120" w:after="120"/>
      <w:ind w:left="709"/>
      <w:outlineLvl w:val="2"/>
    </w:pPr>
    <w:rPr>
      <w:rFonts w:eastAsia="Times New Roman" w:cs="Arial"/>
      <w:b/>
      <w:bCs/>
      <w:color w:val="333333"/>
      <w:sz w:val="27"/>
      <w:szCs w:val="27"/>
      <w:shd w:val="clear" w:color="auto" w:fill="FFFFFF"/>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BB6B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6BF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BB6BF5"/>
    <w:rPr>
      <w:rFonts w:ascii="Arial" w:eastAsia="Times New Roman" w:hAnsi="Arial" w:cs="Arial"/>
      <w:b/>
      <w:bCs/>
      <w:color w:val="333333"/>
      <w:kern w:val="36"/>
      <w:sz w:val="42"/>
      <w:szCs w:val="42"/>
      <w:lang w:eastAsia="pl-PL"/>
    </w:rPr>
  </w:style>
  <w:style w:type="character" w:customStyle="1" w:styleId="Nagwek2Znak">
    <w:name w:val="Nagłówek 2 Znak"/>
    <w:basedOn w:val="Domylnaczcionkaakapitu"/>
    <w:link w:val="Nagwek2"/>
    <w:uiPriority w:val="9"/>
    <w:rsid w:val="00284570"/>
    <w:rPr>
      <w:rFonts w:ascii="Arial" w:eastAsia="Times New Roman" w:hAnsi="Arial" w:cs="Arial"/>
      <w:b/>
      <w:bCs/>
      <w:color w:val="333333"/>
      <w:kern w:val="36"/>
      <w:sz w:val="28"/>
      <w:szCs w:val="28"/>
      <w:lang w:eastAsia="pl-PL"/>
    </w:rPr>
  </w:style>
  <w:style w:type="paragraph" w:styleId="Nagwek">
    <w:name w:val="header"/>
    <w:basedOn w:val="Normalny"/>
    <w:link w:val="NagwekZnak"/>
    <w:uiPriority w:val="99"/>
    <w:unhideWhenUsed/>
    <w:rsid w:val="00D92C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2C74"/>
  </w:style>
  <w:style w:type="paragraph" w:styleId="Stopka">
    <w:name w:val="footer"/>
    <w:basedOn w:val="Normalny"/>
    <w:link w:val="StopkaZnak"/>
    <w:uiPriority w:val="99"/>
    <w:unhideWhenUsed/>
    <w:rsid w:val="00D92C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2C74"/>
  </w:style>
  <w:style w:type="character" w:customStyle="1" w:styleId="Nagwek3Znak">
    <w:name w:val="Nagłówek 3 Znak"/>
    <w:basedOn w:val="Domylnaczcionkaakapitu"/>
    <w:link w:val="Nagwek3"/>
    <w:uiPriority w:val="9"/>
    <w:rsid w:val="00284570"/>
    <w:rPr>
      <w:rFonts w:ascii="Arial" w:eastAsia="Times New Roman" w:hAnsi="Arial" w:cs="Arial"/>
      <w:b/>
      <w:bCs/>
      <w:color w:val="333333"/>
      <w:sz w:val="27"/>
      <w:szCs w:val="27"/>
      <w:lang w:eastAsia="pl-PL"/>
    </w:rPr>
  </w:style>
  <w:style w:type="paragraph" w:styleId="Akapitzlist">
    <w:name w:val="List Paragraph"/>
    <w:basedOn w:val="Normalny"/>
    <w:uiPriority w:val="34"/>
    <w:qFormat/>
    <w:rsid w:val="002F1D8E"/>
    <w:pPr>
      <w:ind w:left="720"/>
      <w:contextualSpacing/>
    </w:pPr>
  </w:style>
  <w:style w:type="character" w:styleId="Hipercze">
    <w:name w:val="Hyperlink"/>
    <w:basedOn w:val="Domylnaczcionkaakapitu"/>
    <w:uiPriority w:val="99"/>
    <w:unhideWhenUsed/>
    <w:rsid w:val="006F7FB6"/>
    <w:rPr>
      <w:color w:val="0563C1"/>
      <w:u w:val="single"/>
    </w:rPr>
  </w:style>
  <w:style w:type="character" w:styleId="Odwoaniedokomentarza">
    <w:name w:val="annotation reference"/>
    <w:basedOn w:val="Domylnaczcionkaakapitu"/>
    <w:uiPriority w:val="99"/>
    <w:semiHidden/>
    <w:unhideWhenUsed/>
    <w:rsid w:val="006F7FB6"/>
    <w:rPr>
      <w:sz w:val="16"/>
      <w:szCs w:val="16"/>
    </w:rPr>
  </w:style>
  <w:style w:type="paragraph" w:styleId="Tekstkomentarza">
    <w:name w:val="annotation text"/>
    <w:basedOn w:val="Normalny"/>
    <w:link w:val="TekstkomentarzaZnak"/>
    <w:uiPriority w:val="99"/>
    <w:semiHidden/>
    <w:unhideWhenUsed/>
    <w:rsid w:val="006F7FB6"/>
    <w:pPr>
      <w:spacing w:after="0" w:line="240" w:lineRule="auto"/>
    </w:pPr>
    <w:rPr>
      <w:rFonts w:ascii="Calibri" w:hAnsi="Calibri" w:cs="Calibri"/>
      <w:sz w:val="20"/>
      <w:szCs w:val="20"/>
    </w:rPr>
  </w:style>
  <w:style w:type="character" w:customStyle="1" w:styleId="TekstkomentarzaZnak">
    <w:name w:val="Tekst komentarza Znak"/>
    <w:basedOn w:val="Domylnaczcionkaakapitu"/>
    <w:link w:val="Tekstkomentarza"/>
    <w:uiPriority w:val="99"/>
    <w:semiHidden/>
    <w:rsid w:val="006F7FB6"/>
    <w:rPr>
      <w:rFonts w:ascii="Calibri" w:hAnsi="Calibri" w:cs="Calibri"/>
      <w:sz w:val="20"/>
      <w:szCs w:val="20"/>
    </w:rPr>
  </w:style>
  <w:style w:type="paragraph" w:styleId="Tekstdymka">
    <w:name w:val="Balloon Text"/>
    <w:basedOn w:val="Normalny"/>
    <w:link w:val="TekstdymkaZnak"/>
    <w:uiPriority w:val="99"/>
    <w:semiHidden/>
    <w:unhideWhenUsed/>
    <w:rsid w:val="006F7F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7FB6"/>
    <w:rPr>
      <w:rFonts w:ascii="Segoe UI" w:hAnsi="Segoe UI" w:cs="Segoe UI"/>
      <w:sz w:val="18"/>
      <w:szCs w:val="18"/>
    </w:rPr>
  </w:style>
  <w:style w:type="paragraph" w:styleId="Bezodstpw">
    <w:name w:val="No Spacing"/>
    <w:uiPriority w:val="1"/>
    <w:qFormat/>
    <w:rsid w:val="006F7FB6"/>
    <w:pPr>
      <w:spacing w:after="0" w:line="240" w:lineRule="auto"/>
    </w:pPr>
    <w:rPr>
      <w:rFonts w:ascii="Arial" w:hAnsi="Arial"/>
    </w:rPr>
  </w:style>
  <w:style w:type="paragraph" w:styleId="Tematkomentarza">
    <w:name w:val="annotation subject"/>
    <w:basedOn w:val="Tekstkomentarza"/>
    <w:next w:val="Tekstkomentarza"/>
    <w:link w:val="TematkomentarzaZnak"/>
    <w:uiPriority w:val="99"/>
    <w:semiHidden/>
    <w:unhideWhenUsed/>
    <w:rsid w:val="00FA271C"/>
    <w:pPr>
      <w:spacing w:after="160"/>
    </w:pPr>
    <w:rPr>
      <w:rFonts w:ascii="Arial" w:hAnsi="Arial" w:cstheme="minorBidi"/>
      <w:b/>
      <w:bCs/>
    </w:rPr>
  </w:style>
  <w:style w:type="character" w:customStyle="1" w:styleId="TematkomentarzaZnak">
    <w:name w:val="Temat komentarza Znak"/>
    <w:basedOn w:val="TekstkomentarzaZnak"/>
    <w:link w:val="Tematkomentarza"/>
    <w:uiPriority w:val="99"/>
    <w:semiHidden/>
    <w:rsid w:val="00FA271C"/>
    <w:rPr>
      <w:rFonts w:ascii="Arial" w:hAnsi="Arial" w:cs="Calibri"/>
      <w:b/>
      <w:bCs/>
      <w:sz w:val="20"/>
      <w:szCs w:val="20"/>
    </w:rPr>
  </w:style>
  <w:style w:type="character" w:customStyle="1" w:styleId="Nierozpoznanawzmianka1">
    <w:name w:val="Nierozpoznana wzmianka1"/>
    <w:basedOn w:val="Domylnaczcionkaakapitu"/>
    <w:uiPriority w:val="99"/>
    <w:semiHidden/>
    <w:unhideWhenUsed/>
    <w:rsid w:val="00A204A3"/>
    <w:rPr>
      <w:color w:val="605E5C"/>
      <w:shd w:val="clear" w:color="auto" w:fill="E1DFDD"/>
    </w:rPr>
  </w:style>
  <w:style w:type="character" w:styleId="UyteHipercze">
    <w:name w:val="FollowedHyperlink"/>
    <w:basedOn w:val="Domylnaczcionkaakapitu"/>
    <w:uiPriority w:val="99"/>
    <w:semiHidden/>
    <w:unhideWhenUsed/>
    <w:rsid w:val="00F04191"/>
    <w:rPr>
      <w:color w:val="954F72" w:themeColor="followedHyperlink"/>
      <w:u w:val="single"/>
    </w:rPr>
  </w:style>
  <w:style w:type="paragraph" w:customStyle="1" w:styleId="SimpleText">
    <w:name w:val="SimpleText"/>
    <w:basedOn w:val="Normalny"/>
    <w:rsid w:val="0069620F"/>
    <w:pPr>
      <w:spacing w:before="20" w:after="40" w:line="240" w:lineRule="auto"/>
      <w:jc w:val="both"/>
    </w:pPr>
    <w:rPr>
      <w:rFonts w:eastAsia="Times New Roman" w:cs="Arial"/>
      <w:szCs w:val="20"/>
      <w:lang w:eastAsia="pl-PL"/>
    </w:rPr>
  </w:style>
  <w:style w:type="paragraph" w:styleId="NormalnyWeb">
    <w:name w:val="Normal (Web)"/>
    <w:basedOn w:val="Normalny"/>
    <w:uiPriority w:val="99"/>
    <w:unhideWhenUsed/>
    <w:rsid w:val="006962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7069D3"/>
    <w:rPr>
      <w:color w:val="605E5C"/>
      <w:shd w:val="clear" w:color="auto" w:fill="E1DFDD"/>
    </w:rPr>
  </w:style>
  <w:style w:type="paragraph" w:styleId="Legenda">
    <w:name w:val="caption"/>
    <w:basedOn w:val="Normalny"/>
    <w:next w:val="Normalny"/>
    <w:uiPriority w:val="35"/>
    <w:unhideWhenUsed/>
    <w:qFormat/>
    <w:rsid w:val="00974F8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57330">
      <w:bodyDiv w:val="1"/>
      <w:marLeft w:val="0"/>
      <w:marRight w:val="0"/>
      <w:marTop w:val="0"/>
      <w:marBottom w:val="0"/>
      <w:divBdr>
        <w:top w:val="none" w:sz="0" w:space="0" w:color="auto"/>
        <w:left w:val="none" w:sz="0" w:space="0" w:color="auto"/>
        <w:bottom w:val="none" w:sz="0" w:space="0" w:color="auto"/>
        <w:right w:val="none" w:sz="0" w:space="0" w:color="auto"/>
      </w:divBdr>
    </w:div>
    <w:div w:id="737285964">
      <w:bodyDiv w:val="1"/>
      <w:marLeft w:val="0"/>
      <w:marRight w:val="0"/>
      <w:marTop w:val="0"/>
      <w:marBottom w:val="0"/>
      <w:divBdr>
        <w:top w:val="none" w:sz="0" w:space="0" w:color="auto"/>
        <w:left w:val="none" w:sz="0" w:space="0" w:color="auto"/>
        <w:bottom w:val="none" w:sz="0" w:space="0" w:color="auto"/>
        <w:right w:val="none" w:sz="0" w:space="0" w:color="auto"/>
      </w:divBdr>
    </w:div>
    <w:div w:id="833838680">
      <w:bodyDiv w:val="1"/>
      <w:marLeft w:val="0"/>
      <w:marRight w:val="0"/>
      <w:marTop w:val="0"/>
      <w:marBottom w:val="0"/>
      <w:divBdr>
        <w:top w:val="none" w:sz="0" w:space="0" w:color="auto"/>
        <w:left w:val="none" w:sz="0" w:space="0" w:color="auto"/>
        <w:bottom w:val="none" w:sz="0" w:space="0" w:color="auto"/>
        <w:right w:val="none" w:sz="0" w:space="0" w:color="auto"/>
      </w:divBdr>
    </w:div>
    <w:div w:id="1233809913">
      <w:bodyDiv w:val="1"/>
      <w:marLeft w:val="0"/>
      <w:marRight w:val="0"/>
      <w:marTop w:val="0"/>
      <w:marBottom w:val="0"/>
      <w:divBdr>
        <w:top w:val="none" w:sz="0" w:space="0" w:color="auto"/>
        <w:left w:val="none" w:sz="0" w:space="0" w:color="auto"/>
        <w:bottom w:val="none" w:sz="0" w:space="0" w:color="auto"/>
        <w:right w:val="none" w:sz="0" w:space="0" w:color="auto"/>
      </w:divBdr>
    </w:div>
    <w:div w:id="14273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puesc.gov.pl/" TargetMode="External"/><Relationship Id="rId13" Type="http://schemas.openxmlformats.org/officeDocument/2006/relationships/hyperlink" Target="https://testbcp.mf.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cp.mf.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box@bcp.mf.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uesc.gov.pl/" TargetMode="External"/><Relationship Id="rId14" Type="http://schemas.openxmlformats.org/officeDocument/2006/relationships/hyperlink" Target="mailto:aes.ais.projekt@mf.gov.p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BSZJ\Documents\1_OPISY%20US&#321;UG%20PUBLICZNYCH\2020%2007%2020%20OPISY%20US&#321;UG%20do%20uzgodnie&#324;\2020%2008\ZALECENIA%20DO%20OPISU%20US&#321;UG\zal.1%20do%20zalece&#324;%20Szablon%20opisu%20grupy%20us&#322;ug.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4009-91A0-443E-8094-9413488B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zal.1 do zaleceń Szablon opisu grupy usług.dotx</Template>
  <TotalTime>5789</TotalTime>
  <Pages>7</Pages>
  <Words>2102</Words>
  <Characters>12613</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Komponent komunikacyjny BCP</vt:lpstr>
    </vt:vector>
  </TitlesOfParts>
  <Company>Izba Administracji Skarbowej</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Komunikator BCP</dc:title>
  <dc:creator>Ryfa Remigiusz</dc:creator>
  <cp:lastModifiedBy>Wróbel Piotr</cp:lastModifiedBy>
  <cp:revision>29</cp:revision>
  <cp:lastPrinted>2021-12-14T11:08:00Z</cp:lastPrinted>
  <dcterms:created xsi:type="dcterms:W3CDTF">2021-12-09T11:40:00Z</dcterms:created>
  <dcterms:modified xsi:type="dcterms:W3CDTF">2025-03-27T15:18:00Z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UxC4dwLulzfINJ8nQH+xvX5LNGipWa4BRSZhPgxsCvnKRcox2HptfaTcRUbxH4dZnzzthsXuTiBeD/k6mDge7A==</vt:lpwstr>
  </property>
  <property fmtid="{D5CDD505-2E9C-101B-9397-08002B2CF9AE}" pid="4" name="MFClassificationDate">
    <vt:lpwstr>2021-12-09T12:38:21.4042623+01:00</vt:lpwstr>
  </property>
  <property fmtid="{D5CDD505-2E9C-101B-9397-08002B2CF9AE}" pid="5" name="MFClassifiedBySID">
    <vt:lpwstr>UxC4dwLulzfINJ8nQH+xvX5LNGipWa4BRSZhPgxsCvm42mrIC/DSDv0ggS+FjUN/2v1BBotkLlY5aAiEhoi6ub5on8ifJsTDB+v/T2Uz67naUzGWJvShWfXLVx0/I8re</vt:lpwstr>
  </property>
  <property fmtid="{D5CDD505-2E9C-101B-9397-08002B2CF9AE}" pid="6" name="MFGRNItemId">
    <vt:lpwstr>GRN-8572a28b-18ba-4eb4-8993-bc9d1ae2df42</vt:lpwstr>
  </property>
  <property fmtid="{D5CDD505-2E9C-101B-9397-08002B2CF9AE}" pid="7" name="MFHash">
    <vt:lpwstr>TKbVeyqq+2O1GbLI1tMBuKEqm5PNRc+QKvLRGq4XS6U=</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